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</w:pPr>
      <w:r>
        <w:rPr>
          <w:rtl w:val="0"/>
        </w:rPr>
        <w:t>Naziv predmeta</w:t>
      </w:r>
    </w:p>
    <w:p>
      <w:pPr>
        <w:pStyle w:val="Body A"/>
      </w:pPr>
      <w:r>
        <w:rPr>
          <w:rtl w:val="0"/>
        </w:rPr>
        <w:t>Propedeutika dje</w:t>
      </w:r>
      <w:r>
        <w:rPr>
          <w:rtl w:val="0"/>
        </w:rPr>
        <w:t>č</w:t>
      </w:r>
      <w:r>
        <w:rPr>
          <w:rtl w:val="0"/>
        </w:rPr>
        <w:t>je dentalne medicine</w:t>
      </w:r>
    </w:p>
    <w:p>
      <w:pPr>
        <w:pStyle w:val="Heading 2"/>
      </w:pPr>
      <w:r>
        <w:rPr>
          <w:rtl w:val="0"/>
        </w:rPr>
        <w:t>Zavod/katedra na kojoj se predmet izvodi</w:t>
      </w:r>
    </w:p>
    <w:p>
      <w:pPr>
        <w:pStyle w:val="Body A"/>
      </w:pPr>
      <w:r>
        <w:rPr>
          <w:rtl w:val="0"/>
        </w:rPr>
        <w:t>Zavod za dje</w:t>
      </w:r>
      <w:r>
        <w:rPr>
          <w:rtl w:val="0"/>
        </w:rPr>
        <w:t>č</w:t>
      </w:r>
      <w:r>
        <w:rPr>
          <w:rtl w:val="0"/>
        </w:rPr>
        <w:t>ju i preventivnu stomatologiju</w:t>
      </w:r>
    </w:p>
    <w:p>
      <w:pPr>
        <w:pStyle w:val="Heading 2"/>
      </w:pPr>
      <w:r>
        <w:rPr>
          <w:rtl w:val="0"/>
        </w:rPr>
        <w:t>Adresa sjedi</w:t>
      </w:r>
      <w:r>
        <w:rPr>
          <w:rtl w:val="0"/>
        </w:rPr>
        <w:t>š</w:t>
      </w:r>
      <w:r>
        <w:rPr>
          <w:rtl w:val="0"/>
        </w:rPr>
        <w:t>ta zavoda/katedre</w:t>
      </w:r>
    </w:p>
    <w:p>
      <w:pPr>
        <w:pStyle w:val="Body A"/>
      </w:pPr>
      <w:r>
        <w:rPr>
          <w:rtl w:val="0"/>
        </w:rPr>
        <w:t>Stomatolo</w:t>
      </w:r>
      <w:r>
        <w:rPr>
          <w:rtl w:val="0"/>
        </w:rPr>
        <w:t>š</w:t>
      </w:r>
      <w:r>
        <w:rPr>
          <w:rtl w:val="0"/>
        </w:rPr>
        <w:t>ki fakultet Sveu</w:t>
      </w:r>
      <w:r>
        <w:rPr>
          <w:rtl w:val="0"/>
        </w:rPr>
        <w:t>č</w:t>
      </w:r>
      <w:r>
        <w:rPr>
          <w:rtl w:val="0"/>
        </w:rPr>
        <w:t>ili</w:t>
      </w:r>
      <w:r>
        <w:rPr>
          <w:rtl w:val="0"/>
        </w:rPr>
        <w:t>š</w:t>
      </w:r>
      <w:r>
        <w:rPr>
          <w:rtl w:val="0"/>
        </w:rPr>
        <w:t>ta u Zagrebu, Gunduli</w:t>
      </w:r>
      <w:r>
        <w:rPr>
          <w:rtl w:val="0"/>
        </w:rPr>
        <w:t>ć</w:t>
      </w:r>
      <w:r>
        <w:rPr>
          <w:rtl w:val="0"/>
        </w:rPr>
        <w:t>eva 5, HR-10000 Zagreb</w:t>
      </w:r>
    </w:p>
    <w:p>
      <w:pPr>
        <w:pStyle w:val="Heading 2"/>
      </w:pPr>
      <w:r>
        <w:rPr>
          <w:rtl w:val="0"/>
        </w:rPr>
        <w:t>Status predmeta</w:t>
      </w:r>
    </w:p>
    <w:p>
      <w:pPr>
        <w:pStyle w:val="Body A"/>
      </w:pPr>
      <w:r>
        <w:rPr>
          <w:rtl w:val="0"/>
        </w:rPr>
        <w:t xml:space="preserve">Obvezni predmet </w:t>
      </w:r>
    </w:p>
    <w:p>
      <w:pPr>
        <w:pStyle w:val="Heading 2"/>
      </w:pPr>
      <w:r>
        <w:rPr>
          <w:rtl w:val="0"/>
        </w:rPr>
        <w:t>Godina studija na kojoj se predmet izvodi</w:t>
      </w:r>
    </w:p>
    <w:p>
      <w:pPr>
        <w:pStyle w:val="Body A"/>
      </w:pPr>
      <w:r>
        <w:rPr>
          <w:rtl w:val="0"/>
        </w:rPr>
        <w:t>4. godina</w:t>
      </w:r>
    </w:p>
    <w:p>
      <w:pPr>
        <w:pStyle w:val="Heading 2"/>
      </w:pPr>
      <w:r>
        <w:rPr>
          <w:rtl w:val="0"/>
        </w:rPr>
        <w:t>Semestar u kojem se predmeti izvodi</w:t>
      </w:r>
    </w:p>
    <w:p>
      <w:pPr>
        <w:pStyle w:val="Body A"/>
      </w:pPr>
      <w:r>
        <w:rPr>
          <w:rtl w:val="0"/>
        </w:rPr>
        <w:t>Zimski semestar</w:t>
      </w:r>
    </w:p>
    <w:p>
      <w:pPr>
        <w:pStyle w:val="Heading 2"/>
      </w:pPr>
      <w:r>
        <w:rPr>
          <w:rtl w:val="0"/>
        </w:rPr>
        <w:t>Broj ECTS-a</w:t>
      </w:r>
    </w:p>
    <w:p>
      <w:pPr>
        <w:pStyle w:val="Body A"/>
      </w:pPr>
      <w:r>
        <w:rPr>
          <w:rtl w:val="0"/>
        </w:rPr>
        <w:t>2 ECTS</w:t>
      </w:r>
    </w:p>
    <w:p>
      <w:pPr>
        <w:pStyle w:val="Heading 2"/>
      </w:pPr>
      <w:r>
        <w:rPr>
          <w:rtl w:val="0"/>
        </w:rPr>
        <w:t xml:space="preserve">Nositelj predmeta </w:t>
      </w:r>
    </w:p>
    <w:p>
      <w:pPr>
        <w:pStyle w:val="Body A"/>
      </w:pPr>
      <w:r>
        <w:rPr>
          <w:rtl w:val="0"/>
        </w:rPr>
        <w:t>Prof. dr. sc. Domagoj Glavina, glavina@sfzg.hr</w:t>
      </w:r>
    </w:p>
    <w:p>
      <w:pPr>
        <w:pStyle w:val="Heading 2"/>
      </w:pPr>
      <w:r>
        <w:rPr>
          <w:rtl w:val="0"/>
        </w:rPr>
        <w:t>Ostali nastavnici na predmetu koji sudjeluju u izvo</w:t>
      </w:r>
      <w:r>
        <w:rPr>
          <w:rtl w:val="0"/>
        </w:rPr>
        <w:t>đ</w:t>
      </w:r>
      <w:r>
        <w:rPr>
          <w:rtl w:val="0"/>
        </w:rPr>
        <w:t>enju nastave</w:t>
      </w:r>
    </w:p>
    <w:p>
      <w:pPr>
        <w:pStyle w:val="Body A"/>
      </w:pPr>
      <w:r>
        <w:rPr>
          <w:rtl w:val="0"/>
        </w:rPr>
        <w:t>Prof. dr. sc. Hrvoje Juri</w:t>
      </w:r>
      <w:r>
        <w:rPr>
          <w:rtl w:val="0"/>
        </w:rPr>
        <w:t>ć</w:t>
      </w:r>
      <w:r>
        <w:rPr>
          <w:rtl w:val="0"/>
        </w:rPr>
        <w:t>, juric@sfzg.hr</w:t>
      </w:r>
    </w:p>
    <w:p>
      <w:pPr>
        <w:pStyle w:val="Body A"/>
      </w:pPr>
      <w:r>
        <w:rPr>
          <w:rtl w:val="0"/>
        </w:rPr>
        <w:t xml:space="preserve">Prof. dr. sc. </w:t>
      </w:r>
      <w:r>
        <w:rPr>
          <w:rtl w:val="0"/>
        </w:rPr>
        <w:t>Ž</w:t>
      </w:r>
      <w:r>
        <w:rPr>
          <w:rtl w:val="0"/>
        </w:rPr>
        <w:t>eljko Verzak, verzak@sfzg.hr</w:t>
      </w:r>
    </w:p>
    <w:p>
      <w:pPr>
        <w:pStyle w:val="Body A"/>
      </w:pPr>
      <w:r>
        <w:rPr>
          <w:rtl w:val="0"/>
        </w:rPr>
        <w:t>Prof. dr. sc. Walter Duki</w:t>
      </w:r>
      <w:r>
        <w:rPr>
          <w:rtl w:val="0"/>
        </w:rPr>
        <w:t>ć</w:t>
      </w:r>
      <w:r>
        <w:rPr>
          <w:rtl w:val="0"/>
        </w:rPr>
        <w:t>, dukic@sfzg.hr</w:t>
      </w:r>
    </w:p>
    <w:p>
      <w:pPr>
        <w:pStyle w:val="Body A"/>
      </w:pPr>
      <w:r>
        <w:rPr>
          <w:rtl w:val="0"/>
        </w:rPr>
        <w:t>Prof. dr. sc.  Kristina Gor</w:t>
      </w:r>
      <w:r>
        <w:rPr>
          <w:rtl w:val="0"/>
        </w:rPr>
        <w:t>š</w:t>
      </w:r>
      <w:r>
        <w:rPr>
          <w:rtl w:val="0"/>
        </w:rPr>
        <w:t>eta, gorseta@sfzg.hr</w:t>
      </w:r>
    </w:p>
    <w:p>
      <w:pPr>
        <w:pStyle w:val="Body A"/>
      </w:pPr>
      <w:r>
        <w:rPr>
          <w:rtl w:val="0"/>
        </w:rPr>
        <w:t>Prof. dr. sc.  Dubravka Negoveti</w:t>
      </w:r>
      <w:r>
        <w:rPr>
          <w:rtl w:val="0"/>
        </w:rPr>
        <w:t>ć</w:t>
      </w:r>
      <w:r>
        <w:rPr>
          <w:rtl w:val="0"/>
        </w:rPr>
        <w:t>-Vrani</w:t>
      </w:r>
      <w:r>
        <w:rPr>
          <w:rtl w:val="0"/>
        </w:rPr>
        <w:t>ć</w:t>
      </w:r>
      <w:r>
        <w:rPr>
          <w:rtl w:val="0"/>
        </w:rPr>
        <w:t>, dnegovetic@sfzg.hr</w:t>
      </w:r>
    </w:p>
    <w:p>
      <w:pPr>
        <w:pStyle w:val="Body A"/>
      </w:pPr>
      <w:r>
        <w:rPr>
          <w:rtl w:val="0"/>
        </w:rPr>
        <w:t xml:space="preserve">Izv. prof. dr. sc.  Tomislav </w:t>
      </w:r>
      <w:r>
        <w:rPr>
          <w:rtl w:val="0"/>
        </w:rPr>
        <w:t>Š</w:t>
      </w:r>
      <w:r>
        <w:rPr>
          <w:rtl w:val="0"/>
        </w:rPr>
        <w:t>krinjari</w:t>
      </w:r>
      <w:r>
        <w:rPr>
          <w:rtl w:val="0"/>
        </w:rPr>
        <w:t>ć</w:t>
      </w:r>
      <w:r>
        <w:rPr>
          <w:rtl w:val="0"/>
        </w:rPr>
        <w:t>, tskrinjaric@sfzg.hr</w:t>
      </w:r>
    </w:p>
    <w:p>
      <w:pPr>
        <w:pStyle w:val="Body A"/>
      </w:pPr>
      <w:r>
        <w:rPr>
          <w:rtl w:val="0"/>
          <w:lang w:val="de-DE"/>
        </w:rPr>
        <w:t>Marin Lozi</w:t>
      </w:r>
      <w:r>
        <w:rPr>
          <w:rtl w:val="0"/>
        </w:rPr>
        <w:t>ć</w:t>
      </w:r>
      <w:r>
        <w:rPr>
          <w:rtl w:val="0"/>
        </w:rPr>
        <w:t>, dr. med., marin.lozic@yahoo.com</w:t>
      </w:r>
    </w:p>
    <w:p>
      <w:pPr>
        <w:pStyle w:val="Body A"/>
      </w:pPr>
      <w:r>
        <w:rPr>
          <w:rtl w:val="0"/>
        </w:rPr>
        <w:t>Jelena Bradi</w:t>
      </w:r>
      <w:r>
        <w:rPr>
          <w:rtl w:val="0"/>
        </w:rPr>
        <w:t>ć</w:t>
      </w:r>
      <w:r>
        <w:rPr>
          <w:rtl w:val="0"/>
        </w:rPr>
        <w:t>, dr. med. dent., jelena.bradic@kbc-zagreb.hr</w:t>
      </w:r>
    </w:p>
    <w:p>
      <w:pPr>
        <w:pStyle w:val="Body A"/>
      </w:pPr>
      <w:r>
        <w:rPr>
          <w:rtl w:val="0"/>
          <w:lang w:val="da-DK"/>
        </w:rPr>
        <w:t>Petra Bu</w:t>
      </w:r>
      <w:r>
        <w:rPr>
          <w:rtl w:val="0"/>
        </w:rPr>
        <w:t>č</w:t>
      </w:r>
      <w:r>
        <w:rPr>
          <w:rtl w:val="0"/>
        </w:rPr>
        <w:t>evi</w:t>
      </w:r>
      <w:r>
        <w:rPr>
          <w:rtl w:val="0"/>
        </w:rPr>
        <w:t xml:space="preserve">ć </w:t>
      </w:r>
      <w:r>
        <w:rPr>
          <w:rtl w:val="0"/>
        </w:rPr>
        <w:t>Soj</w:t>
      </w:r>
      <w:r>
        <w:rPr>
          <w:rtl w:val="0"/>
        </w:rPr>
        <w:t>č</w:t>
      </w:r>
      <w:r>
        <w:rPr>
          <w:rtl w:val="0"/>
        </w:rPr>
        <w:t>i</w:t>
      </w:r>
      <w:r>
        <w:rPr>
          <w:rtl w:val="0"/>
        </w:rPr>
        <w:t>ć</w:t>
      </w:r>
      <w:r>
        <w:rPr>
          <w:rtl w:val="0"/>
          <w:lang w:val="it-IT"/>
        </w:rPr>
        <w:t>, dr. med. dent., pbucevic@gmail.com</w:t>
      </w:r>
    </w:p>
    <w:p>
      <w:pPr>
        <w:pStyle w:val="Heading 2"/>
      </w:pPr>
      <w:r>
        <w:rPr>
          <w:rtl w:val="0"/>
        </w:rPr>
        <w:t>Broj sati nastave</w:t>
      </w:r>
    </w:p>
    <w:tbl>
      <w:tblPr>
        <w:tblW w:w="906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65"/>
        <w:gridCol w:w="2266"/>
        <w:gridCol w:w="2127"/>
        <w:gridCol w:w="2404"/>
      </w:tblGrid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Zimski semestar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Ljetni semestar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Ukupno (oba semestra)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Predavanja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Seminari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Vje</w:t>
            </w:r>
            <w:r>
              <w:rPr>
                <w:b w:val="1"/>
                <w:bCs w:val="1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hd w:val="nil" w:color="auto" w:fill="auto"/>
                <w:rtl w:val="0"/>
              </w:rPr>
              <w:t>be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Ukupno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rFonts w:ascii="Calibri" w:hAnsi="Calibri"/>
                <w:rtl w:val="0"/>
              </w:rPr>
              <w:t>26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-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rFonts w:ascii="Calibri" w:hAnsi="Calibri"/>
                <w:rtl w:val="0"/>
              </w:rPr>
              <w:t>26</w:t>
            </w:r>
          </w:p>
        </w:tc>
      </w:tr>
    </w:tbl>
    <w:p>
      <w:pPr>
        <w:pStyle w:val="Heading 2"/>
        <w:widowControl w:val="0"/>
        <w:spacing w:line="240" w:lineRule="auto"/>
        <w:ind w:left="324" w:hanging="324"/>
        <w:jc w:val="left"/>
      </w:pPr>
    </w:p>
    <w:p>
      <w:pPr>
        <w:pStyle w:val="Heading 2"/>
        <w:widowControl w:val="0"/>
        <w:spacing w:line="240" w:lineRule="auto"/>
        <w:ind w:left="216" w:hanging="216"/>
        <w:jc w:val="left"/>
      </w:pPr>
    </w:p>
    <w:p>
      <w:pPr>
        <w:pStyle w:val="Heading 2"/>
        <w:widowControl w:val="0"/>
        <w:spacing w:line="240" w:lineRule="auto"/>
        <w:ind w:left="108" w:hanging="108"/>
      </w:pPr>
    </w:p>
    <w:p>
      <w:pPr>
        <w:pStyle w:val="Heading 2"/>
        <w:widowControl w:val="0"/>
        <w:spacing w:line="240" w:lineRule="auto"/>
      </w:pPr>
    </w:p>
    <w:p>
      <w:pPr>
        <w:pStyle w:val="Body A"/>
      </w:pPr>
      <w:r>
        <w:rPr>
          <w:rtl w:val="0"/>
        </w:rPr>
        <w:t>1 sat = 45 minuta</w:t>
      </w:r>
    </w:p>
    <w:p>
      <w:pPr>
        <w:pStyle w:val="Heading 2"/>
      </w:pPr>
      <w:r>
        <w:rPr>
          <w:rtl w:val="0"/>
        </w:rPr>
        <w:t>Vrsta vje</w:t>
      </w:r>
      <w:r>
        <w:rPr>
          <w:rtl w:val="0"/>
        </w:rPr>
        <w:t>ž</w:t>
      </w:r>
      <w:r>
        <w:rPr>
          <w:rtl w:val="0"/>
        </w:rPr>
        <w:t>bi na predmetu</w:t>
      </w:r>
    </w:p>
    <w:p>
      <w:pPr>
        <w:pStyle w:val="Body A"/>
      </w:pPr>
      <w:r>
        <w:rPr>
          <w:rtl w:val="0"/>
        </w:rPr>
        <w:t>Pretklini</w:t>
      </w:r>
      <w:r>
        <w:rPr>
          <w:rtl w:val="0"/>
        </w:rPr>
        <w:t>č</w:t>
      </w:r>
      <w:r>
        <w:rPr>
          <w:rtl w:val="0"/>
        </w:rPr>
        <w:t>ke vje</w:t>
      </w:r>
      <w:r>
        <w:rPr>
          <w:rtl w:val="0"/>
        </w:rPr>
        <w:t>ž</w:t>
      </w:r>
      <w:r>
        <w:rPr>
          <w:rtl w:val="0"/>
        </w:rPr>
        <w:t>be</w:t>
      </w:r>
    </w:p>
    <w:p>
      <w:pPr>
        <w:pStyle w:val="Heading 2"/>
      </w:pPr>
      <w:r>
        <w:rPr>
          <w:rtl w:val="0"/>
        </w:rPr>
        <w:t>Ciljevi i svrha predmeta</w:t>
      </w:r>
    </w:p>
    <w:p>
      <w:pPr>
        <w:pStyle w:val="Body A"/>
      </w:pPr>
      <w:r>
        <w:rPr>
          <w:rtl w:val="0"/>
        </w:rPr>
        <w:t>Svrha predmeta: Uvo</w:t>
      </w:r>
      <w:r>
        <w:rPr>
          <w:rtl w:val="0"/>
        </w:rPr>
        <w:t>đ</w:t>
      </w:r>
      <w:r>
        <w:rPr>
          <w:rtl w:val="0"/>
        </w:rPr>
        <w:t>enje studenata u klini</w:t>
      </w:r>
      <w:r>
        <w:rPr>
          <w:rtl w:val="0"/>
        </w:rPr>
        <w:t>č</w:t>
      </w:r>
      <w:r>
        <w:rPr>
          <w:rtl w:val="0"/>
        </w:rPr>
        <w:t>ki rad sa djecom</w:t>
      </w:r>
    </w:p>
    <w:p>
      <w:pPr>
        <w:pStyle w:val="Body A"/>
      </w:pPr>
      <w:r>
        <w:rPr>
          <w:rtl w:val="0"/>
        </w:rPr>
        <w:t>Ciljevi: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Upoznavanje radnog mjesta i instrumentarija u ambulanti dje</w:t>
      </w:r>
      <w:r>
        <w:rPr>
          <w:rtl w:val="0"/>
        </w:rPr>
        <w:t>č</w:t>
      </w:r>
      <w:r>
        <w:rPr>
          <w:rtl w:val="0"/>
        </w:rPr>
        <w:t>je stomatologije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Upoznavanje preventivnih postupaka u prevenciji ranog dje</w:t>
      </w:r>
      <w:r>
        <w:rPr>
          <w:rtl w:val="0"/>
        </w:rPr>
        <w:t>č</w:t>
      </w:r>
      <w:r>
        <w:rPr>
          <w:rtl w:val="0"/>
        </w:rPr>
        <w:t>jeg karijesa (ECC) i karijesa mlije</w:t>
      </w:r>
      <w:r>
        <w:rPr>
          <w:rtl w:val="0"/>
        </w:rPr>
        <w:t>č</w:t>
      </w:r>
      <w:r>
        <w:rPr>
          <w:rtl w:val="0"/>
        </w:rPr>
        <w:t>nih i trajnih zuba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Postupci kontrole boli i pona</w:t>
      </w:r>
      <w:r>
        <w:rPr>
          <w:rtl w:val="0"/>
        </w:rPr>
        <w:t>š</w:t>
      </w:r>
      <w:r>
        <w:rPr>
          <w:rtl w:val="0"/>
        </w:rPr>
        <w:t>anja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Restorativni postupci u lije</w:t>
      </w:r>
      <w:r>
        <w:rPr>
          <w:rtl w:val="0"/>
        </w:rPr>
        <w:t>č</w:t>
      </w:r>
      <w:r>
        <w:rPr>
          <w:rtl w:val="0"/>
        </w:rPr>
        <w:t>enju karijesa mlije</w:t>
      </w:r>
      <w:r>
        <w:rPr>
          <w:rtl w:val="0"/>
        </w:rPr>
        <w:t>č</w:t>
      </w:r>
      <w:r>
        <w:rPr>
          <w:rtl w:val="0"/>
        </w:rPr>
        <w:t>nih i trajnih zuba</w:t>
      </w:r>
    </w:p>
    <w:p>
      <w:pPr>
        <w:pStyle w:val="Heading 2"/>
      </w:pPr>
      <w:r>
        <w:rPr>
          <w:rtl w:val="0"/>
        </w:rPr>
        <w:t>Uvjeti za upis predmeta</w:t>
      </w:r>
    </w:p>
    <w:p>
      <w:pPr>
        <w:pStyle w:val="Body A"/>
      </w:pPr>
      <w:r>
        <w:rPr>
          <w:rtl w:val="0"/>
        </w:rPr>
        <w:t xml:space="preserve">Uvjeta za upis predmeta za studente 4. godine integriranog preddiplomskog i diplomskog studija Dentalna medicina nema. Predmet moraju upisati svi studenti. </w:t>
      </w:r>
    </w:p>
    <w:p>
      <w:pPr>
        <w:pStyle w:val="Body A"/>
      </w:pPr>
      <w:r>
        <w:rPr>
          <w:rtl w:val="0"/>
          <w:lang w:val="it-IT"/>
        </w:rPr>
        <w:t>Polo</w:t>
      </w:r>
      <w:r>
        <w:rPr>
          <w:rtl w:val="0"/>
        </w:rPr>
        <w:t>ž</w:t>
      </w:r>
      <w:r>
        <w:rPr>
          <w:rtl w:val="0"/>
        </w:rPr>
        <w:t>en kolokvij iz Propedeutike dje</w:t>
      </w:r>
      <w:r>
        <w:rPr>
          <w:rtl w:val="0"/>
        </w:rPr>
        <w:t>č</w:t>
      </w:r>
      <w:r>
        <w:rPr>
          <w:rtl w:val="0"/>
        </w:rPr>
        <w:t>je dentalne medicine je uvjet za pristup klini</w:t>
      </w:r>
      <w:r>
        <w:rPr>
          <w:rtl w:val="0"/>
        </w:rPr>
        <w:t>č</w:t>
      </w:r>
      <w:r>
        <w:rPr>
          <w:rtl w:val="0"/>
        </w:rPr>
        <w:t>kim vje</w:t>
      </w:r>
      <w:r>
        <w:rPr>
          <w:rtl w:val="0"/>
        </w:rPr>
        <w:t>ž</w:t>
      </w:r>
      <w:r>
        <w:rPr>
          <w:rtl w:val="0"/>
        </w:rPr>
        <w:t>bama iz Dje</w:t>
      </w:r>
      <w:r>
        <w:rPr>
          <w:rtl w:val="0"/>
        </w:rPr>
        <w:t>č</w:t>
      </w:r>
      <w:r>
        <w:rPr>
          <w:rtl w:val="0"/>
        </w:rPr>
        <w:t>je i preventivne dentalne medicine I.</w:t>
      </w:r>
    </w:p>
    <w:p>
      <w:pPr>
        <w:pStyle w:val="Heading 2"/>
      </w:pPr>
      <w:r>
        <w:rPr>
          <w:rtl w:val="0"/>
        </w:rPr>
        <w:t>Ishodi u</w:t>
      </w:r>
      <w:r>
        <w:rPr>
          <w:rtl w:val="0"/>
        </w:rPr>
        <w:t>č</w:t>
      </w:r>
      <w:r>
        <w:rPr>
          <w:rtl w:val="0"/>
        </w:rPr>
        <w:t>enja na razini programa integriranog preddiplomskog i diplomskog studija Dentalna medicina kojima predmet pridonosi:</w:t>
      </w:r>
    </w:p>
    <w:p>
      <w:pPr>
        <w:pStyle w:val="Body A"/>
      </w:pPr>
      <w:r>
        <w:rPr>
          <w:rFonts w:ascii="ＭＳ ゴシック" w:hAnsi="ＭＳ ゴシック" w:hint="default"/>
          <w:rtl w:val="0"/>
        </w:rPr>
        <w:t>☒</w:t>
      </w:r>
      <w:r>
        <w:rPr>
          <w:rtl w:val="0"/>
        </w:rPr>
        <w:t xml:space="preserve"> Znanja, vje</w:t>
      </w:r>
      <w:r>
        <w:rPr>
          <w:rtl w:val="0"/>
        </w:rPr>
        <w:t>š</w:t>
      </w:r>
      <w:r>
        <w:rPr>
          <w:rtl w:val="0"/>
        </w:rPr>
        <w:t>tine i kompetencije koje se odnose na profesionalizam, etiku i pravo</w:t>
      </w:r>
    </w:p>
    <w:p>
      <w:pPr>
        <w:pStyle w:val="Body A"/>
      </w:pPr>
      <w:r>
        <w:rPr>
          <w:rFonts w:ascii="ＭＳ ゴシック" w:hAnsi="ＭＳ ゴシック" w:hint="default"/>
          <w:rtl w:val="0"/>
        </w:rPr>
        <w:t>☒</w:t>
      </w:r>
      <w:r>
        <w:rPr>
          <w:rtl w:val="0"/>
        </w:rPr>
        <w:t xml:space="preserve"> Znanja, vje</w:t>
      </w:r>
      <w:r>
        <w:rPr>
          <w:rtl w:val="0"/>
        </w:rPr>
        <w:t>š</w:t>
      </w:r>
      <w:r>
        <w:rPr>
          <w:rtl w:val="0"/>
        </w:rPr>
        <w:t>tine i kompetencije koje se odnose na komunikacijske i socijalne vje</w:t>
      </w:r>
      <w:r>
        <w:rPr>
          <w:rtl w:val="0"/>
        </w:rPr>
        <w:t>š</w:t>
      </w:r>
      <w:r>
        <w:rPr>
          <w:rtl w:val="0"/>
        </w:rPr>
        <w:t>tine</w:t>
      </w:r>
    </w:p>
    <w:p>
      <w:pPr>
        <w:pStyle w:val="Body A"/>
      </w:pPr>
      <w:r>
        <w:rPr>
          <w:rFonts w:ascii="ＭＳ ゴシック" w:hAnsi="ＭＳ ゴシック" w:hint="default"/>
          <w:rtl w:val="0"/>
        </w:rPr>
        <w:t>☒</w:t>
      </w:r>
      <w:r>
        <w:rPr>
          <w:rtl w:val="0"/>
        </w:rPr>
        <w:t xml:space="preserve"> Znanja, vje</w:t>
      </w:r>
      <w:r>
        <w:rPr>
          <w:rtl w:val="0"/>
        </w:rPr>
        <w:t>š</w:t>
      </w:r>
      <w:r>
        <w:rPr>
          <w:rtl w:val="0"/>
        </w:rPr>
        <w:t>tine i kompetencije koje se odnose na bazi</w:t>
      </w:r>
      <w:r>
        <w:rPr>
          <w:rtl w:val="0"/>
        </w:rPr>
        <w:t>č</w:t>
      </w:r>
      <w:r>
        <w:rPr>
          <w:rtl w:val="0"/>
        </w:rPr>
        <w:t>no znanje i mogu</w:t>
      </w:r>
      <w:r>
        <w:rPr>
          <w:rtl w:val="0"/>
        </w:rPr>
        <w:t>ć</w:t>
      </w:r>
      <w:r>
        <w:rPr>
          <w:rtl w:val="0"/>
        </w:rPr>
        <w:t>nost prikupljanja informacija iz literature</w:t>
      </w:r>
    </w:p>
    <w:p>
      <w:pPr>
        <w:pStyle w:val="Body A"/>
      </w:pPr>
      <w:r>
        <w:rPr>
          <w:rFonts w:ascii="ＭＳ ゴシック" w:hAnsi="ＭＳ ゴシック" w:hint="default"/>
          <w:rtl w:val="0"/>
        </w:rPr>
        <w:t>☒</w:t>
      </w:r>
      <w:r>
        <w:rPr>
          <w:rtl w:val="0"/>
        </w:rPr>
        <w:t xml:space="preserve"> Znanja, vje</w:t>
      </w:r>
      <w:r>
        <w:rPr>
          <w:rtl w:val="0"/>
        </w:rPr>
        <w:t>š</w:t>
      </w:r>
      <w:r>
        <w:rPr>
          <w:rtl w:val="0"/>
        </w:rPr>
        <w:t>tine i kompetencije koje se odnose na prikupljanje klini</w:t>
      </w:r>
      <w:r>
        <w:rPr>
          <w:rtl w:val="0"/>
        </w:rPr>
        <w:t>č</w:t>
      </w:r>
      <w:r>
        <w:rPr>
          <w:rtl w:val="0"/>
        </w:rPr>
        <w:t>kih informacija</w:t>
      </w:r>
    </w:p>
    <w:p>
      <w:pPr>
        <w:pStyle w:val="Body A"/>
      </w:pPr>
      <w:r>
        <w:rPr>
          <w:rFonts w:ascii="ＭＳ ゴシック" w:hAnsi="ＭＳ ゴシック" w:hint="default"/>
          <w:rtl w:val="0"/>
        </w:rPr>
        <w:t>☒</w:t>
      </w:r>
      <w:r>
        <w:rPr>
          <w:rtl w:val="0"/>
        </w:rPr>
        <w:t xml:space="preserve"> Znanja, vje</w:t>
      </w:r>
      <w:r>
        <w:rPr>
          <w:rtl w:val="0"/>
        </w:rPr>
        <w:t>š</w:t>
      </w:r>
      <w:r>
        <w:rPr>
          <w:rtl w:val="0"/>
        </w:rPr>
        <w:t>tine i kompetencije koje se odnose na postavljanje dijagnoze i planiranje terapije</w:t>
      </w:r>
    </w:p>
    <w:p>
      <w:pPr>
        <w:pStyle w:val="Body A"/>
      </w:pPr>
      <w:r>
        <w:rPr>
          <w:rFonts w:ascii="ＭＳ ゴシック" w:hAnsi="ＭＳ ゴシック" w:hint="default"/>
          <w:rtl w:val="0"/>
        </w:rPr>
        <w:t>☒</w:t>
      </w:r>
      <w:r>
        <w:rPr>
          <w:rtl w:val="0"/>
        </w:rPr>
        <w:t xml:space="preserve"> Znanja, vje</w:t>
      </w:r>
      <w:r>
        <w:rPr>
          <w:rtl w:val="0"/>
        </w:rPr>
        <w:t>š</w:t>
      </w:r>
      <w:r>
        <w:rPr>
          <w:rtl w:val="0"/>
        </w:rPr>
        <w:t>tine i kompetencije koje se odnose na terapiju, uspostavu i odr</w:t>
      </w:r>
      <w:r>
        <w:rPr>
          <w:rtl w:val="0"/>
        </w:rPr>
        <w:t>ž</w:t>
      </w:r>
      <w:r>
        <w:rPr>
          <w:rtl w:val="0"/>
        </w:rPr>
        <w:t>avanje oralnog zdravlja</w:t>
      </w:r>
    </w:p>
    <w:p>
      <w:pPr>
        <w:pStyle w:val="Body A"/>
      </w:pPr>
      <w:r>
        <w:rPr>
          <w:rFonts w:ascii="ＭＳ ゴシック" w:hAnsi="ＭＳ ゴシック" w:hint="default"/>
          <w:rtl w:val="0"/>
        </w:rPr>
        <w:t>☒</w:t>
      </w:r>
      <w:r>
        <w:rPr>
          <w:rtl w:val="0"/>
        </w:rPr>
        <w:t xml:space="preserve"> Znanja, vje</w:t>
      </w:r>
      <w:r>
        <w:rPr>
          <w:rtl w:val="0"/>
        </w:rPr>
        <w:t>š</w:t>
      </w:r>
      <w:r>
        <w:rPr>
          <w:rtl w:val="0"/>
        </w:rPr>
        <w:t>tine i kompetencije koje se odnose na preventivne mjere i promociju zdravlja</w:t>
      </w:r>
    </w:p>
    <w:p>
      <w:pPr>
        <w:pStyle w:val="Heading 2"/>
      </w:pPr>
      <w:r>
        <w:rPr>
          <w:rtl w:val="0"/>
        </w:rPr>
        <w:t>O</w:t>
      </w:r>
      <w:r>
        <w:rPr>
          <w:rtl w:val="0"/>
        </w:rPr>
        <w:t>č</w:t>
      </w:r>
      <w:r>
        <w:rPr>
          <w:rtl w:val="0"/>
        </w:rPr>
        <w:t>ekivani ishodi u</w:t>
      </w:r>
      <w:r>
        <w:rPr>
          <w:rtl w:val="0"/>
        </w:rPr>
        <w:t>č</w:t>
      </w:r>
      <w:r>
        <w:rPr>
          <w:rtl w:val="0"/>
        </w:rPr>
        <w:t>enja</w:t>
      </w:r>
    </w:p>
    <w:p>
      <w:pPr>
        <w:pStyle w:val="Body A"/>
      </w:pPr>
      <w:r>
        <w:rPr>
          <w:rtl w:val="0"/>
        </w:rPr>
        <w:t>Znanja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Razmotriti postupke planiranja i provedbe preventivnih mjera i stomatolo</w:t>
      </w:r>
      <w:r>
        <w:rPr>
          <w:rtl w:val="0"/>
        </w:rPr>
        <w:t>š</w:t>
      </w:r>
      <w:r>
        <w:rPr>
          <w:rtl w:val="0"/>
        </w:rPr>
        <w:t>kih postupaka u djece.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Opisati postupke kontrole pona</w:t>
      </w:r>
      <w:r>
        <w:rPr>
          <w:rtl w:val="0"/>
        </w:rPr>
        <w:t>š</w:t>
      </w:r>
      <w:r>
        <w:rPr>
          <w:rtl w:val="0"/>
        </w:rPr>
        <w:t>anja i boli u klini</w:t>
      </w:r>
      <w:r>
        <w:rPr>
          <w:rtl w:val="0"/>
        </w:rPr>
        <w:t>č</w:t>
      </w:r>
      <w:r>
        <w:rPr>
          <w:rtl w:val="0"/>
        </w:rPr>
        <w:t>kom radu s djecom.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Opisati dentalne materijale za zbrinjavanje mlije</w:t>
      </w:r>
      <w:r>
        <w:rPr>
          <w:rtl w:val="0"/>
        </w:rPr>
        <w:t>č</w:t>
      </w:r>
      <w:r>
        <w:rPr>
          <w:rtl w:val="0"/>
        </w:rPr>
        <w:t>nih, mladih trajnih i trajnih zuba u djece.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Klasificirati ozljede zuba u djece.</w:t>
      </w:r>
    </w:p>
    <w:p>
      <w:pPr>
        <w:pStyle w:val="Body A"/>
      </w:pPr>
      <w:r>
        <w:rPr>
          <w:rtl w:val="0"/>
        </w:rPr>
        <w:t>Vje</w:t>
      </w:r>
      <w:r>
        <w:rPr>
          <w:rtl w:val="0"/>
        </w:rPr>
        <w:t>š</w:t>
      </w:r>
      <w:r>
        <w:rPr>
          <w:rtl w:val="0"/>
        </w:rPr>
        <w:t>tine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Koristiti primjerene tehnike lokalne anestezije u djece (infiltracijska, provodna, intraligamentna, kompjuterski kontrolirana anestezija,  suplementarne metode lokalne anestezije).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Primjena postupka kontrole pona</w:t>
      </w:r>
      <w:r>
        <w:rPr>
          <w:rtl w:val="0"/>
        </w:rPr>
        <w:t>š</w:t>
      </w:r>
      <w:r>
        <w:rPr>
          <w:rtl w:val="0"/>
        </w:rPr>
        <w:t xml:space="preserve">anja </w:t>
      </w:r>
      <w:r>
        <w:rPr>
          <w:rtl w:val="0"/>
        </w:rPr>
        <w:t>„</w:t>
      </w:r>
      <w:r>
        <w:rPr>
          <w:rtl w:val="0"/>
          <w:lang w:val="en-US"/>
        </w:rPr>
        <w:t>Tell-Show-Do</w:t>
      </w:r>
      <w:r>
        <w:rPr>
          <w:rFonts w:ascii="Arial Unicode MS" w:hAnsi="Arial Unicode MS" w:hint="default"/>
          <w:rtl w:val="1"/>
          <w:lang w:val="ar-SA" w:bidi="ar-SA"/>
        </w:rPr>
        <w:t>“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Primjena restorativnih postupaka u sanaciji mlije</w:t>
      </w:r>
      <w:r>
        <w:rPr>
          <w:rtl w:val="0"/>
        </w:rPr>
        <w:t>č</w:t>
      </w:r>
      <w:r>
        <w:rPr>
          <w:rtl w:val="0"/>
        </w:rPr>
        <w:t>nih i trajnih zuba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Primjena sredstava za prevenciju karijesa</w:t>
      </w:r>
    </w:p>
    <w:p>
      <w:pPr>
        <w:pStyle w:val="Body A"/>
      </w:pPr>
      <w:r>
        <w:rPr>
          <w:rtl w:val="0"/>
        </w:rPr>
        <w:t>Kompetencije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Odabrati primjereni dentalni materijal (primjeri: kompozit, stakleni ionomer) za zbrinjavanje mlije</w:t>
      </w:r>
      <w:r>
        <w:rPr>
          <w:rtl w:val="0"/>
        </w:rPr>
        <w:t>č</w:t>
      </w:r>
      <w:r>
        <w:rPr>
          <w:rtl w:val="0"/>
        </w:rPr>
        <w:t>nih, mladih trajnih i trajnih zuba u djece.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Planirati provedbu lije</w:t>
      </w:r>
      <w:r>
        <w:rPr>
          <w:rtl w:val="0"/>
        </w:rPr>
        <w:t>č</w:t>
      </w:r>
      <w:r>
        <w:rPr>
          <w:rtl w:val="0"/>
        </w:rPr>
        <w:t>enja u dje</w:t>
      </w:r>
      <w:r>
        <w:rPr>
          <w:rtl w:val="0"/>
        </w:rPr>
        <w:t>č</w:t>
      </w:r>
      <w:r>
        <w:rPr>
          <w:rtl w:val="0"/>
        </w:rPr>
        <w:t>joj dobi i adolescenciji, predvidjeti postupke prilikom prve posjete i prevenciju ranog dje</w:t>
      </w:r>
      <w:r>
        <w:rPr>
          <w:rtl w:val="0"/>
        </w:rPr>
        <w:t>č</w:t>
      </w:r>
      <w:r>
        <w:rPr>
          <w:rtl w:val="0"/>
        </w:rPr>
        <w:t>jeg karijesa.</w:t>
      </w:r>
    </w:p>
    <w:p>
      <w:pPr>
        <w:pStyle w:val="Heading 2"/>
      </w:pPr>
      <w:r>
        <w:rPr>
          <w:rtl w:val="0"/>
        </w:rPr>
        <w:t>Sadr</w:t>
      </w:r>
      <w:r>
        <w:rPr>
          <w:rtl w:val="0"/>
        </w:rPr>
        <w:t>ž</w:t>
      </w:r>
      <w:r>
        <w:rPr>
          <w:rtl w:val="0"/>
        </w:rPr>
        <w:t>aj predmeta</w:t>
      </w:r>
    </w:p>
    <w:p>
      <w:pPr>
        <w:pStyle w:val="Body A"/>
      </w:pPr>
      <w:r>
        <w:rPr>
          <w:rtl w:val="0"/>
        </w:rPr>
        <w:t>Predavanja</w:t>
      </w:r>
    </w:p>
    <w:tbl>
      <w:tblPr>
        <w:tblW w:w="906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46"/>
        <w:gridCol w:w="6379"/>
        <w:gridCol w:w="1837"/>
      </w:tblGrid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Teme predavanja u zimskom semestru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Broj sati nastave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Uvod u dje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ju dentalnu medicinu i prva posjeta pedodontu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Evaluacija pona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 xml:space="preserve">anja djeteta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Rast i razvoj u dje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joj dobi 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Na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ela dijagnoze i planiranje terapije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Koncept dentalnog doma i prevencija ranog dje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jeg karijesa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 xml:space="preserve">Individulana preventivna terapija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Procjena karijes rizi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nosti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Neinvazivno i minimalno invazivno lije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enja karijesa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 xml:space="preserve">Erupcija zuba, 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uvanje prostora i interceptivni zahvati u djece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Dentalni materijali u dje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joj stomatologiji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Kontrola boli u dje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joj stomatologiji 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511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Dijagnoza i planiranje terapije u lije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enju patologije pulpe mlije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nih zuba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511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Dijagnoza i planiranje terapije u lije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enju patologije pulpe mladih trajnih zuba </w:t>
            </w:r>
          </w:p>
        </w:tc>
        <w:tc>
          <w:tcPr>
            <w:tcW w:type="dxa" w:w="18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</w:tbl>
    <w:p>
      <w:pPr>
        <w:pStyle w:val="Body A"/>
        <w:widowControl w:val="0"/>
        <w:spacing w:line="240" w:lineRule="auto"/>
        <w:ind w:left="324" w:hanging="324"/>
        <w:jc w:val="left"/>
      </w:pPr>
    </w:p>
    <w:p>
      <w:pPr>
        <w:pStyle w:val="Body A"/>
        <w:widowControl w:val="0"/>
        <w:spacing w:line="240" w:lineRule="auto"/>
        <w:ind w:left="216" w:hanging="216"/>
        <w:jc w:val="left"/>
      </w:pPr>
    </w:p>
    <w:p>
      <w:pPr>
        <w:pStyle w:val="Body A"/>
        <w:widowControl w:val="0"/>
        <w:spacing w:line="240" w:lineRule="auto"/>
        <w:ind w:left="108" w:hanging="108"/>
      </w:pPr>
    </w:p>
    <w:p>
      <w:pPr>
        <w:pStyle w:val="Body A"/>
        <w:widowControl w:val="0"/>
        <w:spacing w:line="240" w:lineRule="auto"/>
      </w:pPr>
    </w:p>
    <w:p>
      <w:pPr>
        <w:pStyle w:val="Body A"/>
      </w:pPr>
      <w:r>
        <w:rPr>
          <w:rtl w:val="0"/>
        </w:rPr>
        <w:t>1 sat = 45 minuta</w:t>
      </w:r>
    </w:p>
    <w:p>
      <w:pPr>
        <w:pStyle w:val="Body A"/>
      </w:pPr>
      <w:r>
        <w:rPr>
          <w:rtl w:val="0"/>
        </w:rPr>
        <w:t>Vje</w:t>
      </w:r>
      <w:r>
        <w:rPr>
          <w:rtl w:val="0"/>
        </w:rPr>
        <w:t>ž</w:t>
      </w:r>
      <w:r>
        <w:rPr>
          <w:rtl w:val="0"/>
        </w:rPr>
        <w:t>be</w:t>
      </w:r>
    </w:p>
    <w:tbl>
      <w:tblPr>
        <w:tblW w:w="873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15"/>
        <w:gridCol w:w="6146"/>
        <w:gridCol w:w="1771"/>
      </w:tblGrid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Teme vje</w:t>
            </w:r>
            <w:r>
              <w:rPr>
                <w:b w:val="1"/>
                <w:bCs w:val="1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hd w:val="nil" w:color="auto" w:fill="auto"/>
                <w:rtl w:val="0"/>
              </w:rPr>
              <w:t>bi u zimskom semestru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Broj sati nastave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Upoznavanje radnog mjesta u ambulanti dje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je stomatologije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Upoznavanje instrumentarija u ambulanti dje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je stomatologije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Prva posjeta</w:t>
            </w:r>
            <w:r>
              <w:rPr>
                <w:shd w:val="nil" w:color="auto" w:fill="auto"/>
                <w:rtl w:val="0"/>
              </w:rPr>
              <w:t xml:space="preserve"> i klini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ki pregled</w:t>
            </w:r>
            <w:r>
              <w:rPr>
                <w:shd w:val="nil" w:color="auto" w:fill="auto"/>
                <w:rtl w:val="0"/>
                <w:lang w:val="pt-PT"/>
              </w:rPr>
              <w:t xml:space="preserve"> (ECC)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Tehnike kontrole pona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anja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Tehnike lokalne anestezije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Procjena karijes rizika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Plan terapije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Preventivni postupci (regulacija prehrane, odr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avanje oralne higijene)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Uklanjanje supragingivnih naslaga, poliranje zuba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Pe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a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</w:rPr>
              <w:t>enje fisura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ART ispun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Restorativna terapija mlije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nih zuba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</w:pPr>
            <w:r>
              <w:rPr>
                <w:shd w:val="nil" w:color="auto" w:fill="auto"/>
                <w:rtl w:val="0"/>
              </w:rPr>
              <w:t>Primjena sredstava za remineralizaciju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</w:tbl>
    <w:p>
      <w:pPr>
        <w:pStyle w:val="Body A"/>
        <w:widowControl w:val="0"/>
        <w:spacing w:line="240" w:lineRule="auto"/>
        <w:ind w:left="324" w:hanging="324"/>
        <w:jc w:val="left"/>
      </w:pPr>
    </w:p>
    <w:p>
      <w:pPr>
        <w:pStyle w:val="Body A"/>
        <w:widowControl w:val="0"/>
        <w:spacing w:line="240" w:lineRule="auto"/>
        <w:ind w:left="216" w:hanging="216"/>
        <w:jc w:val="left"/>
      </w:pPr>
    </w:p>
    <w:p>
      <w:pPr>
        <w:pStyle w:val="Body A"/>
        <w:widowControl w:val="0"/>
        <w:spacing w:line="240" w:lineRule="auto"/>
        <w:ind w:left="108" w:hanging="108"/>
      </w:pPr>
    </w:p>
    <w:p>
      <w:pPr>
        <w:pStyle w:val="Body A"/>
        <w:widowControl w:val="0"/>
        <w:spacing w:line="240" w:lineRule="auto"/>
      </w:pPr>
    </w:p>
    <w:p>
      <w:pPr>
        <w:pStyle w:val="Body A"/>
      </w:pPr>
      <w:r>
        <w:rPr>
          <w:rtl w:val="0"/>
        </w:rPr>
        <w:t>1 sat = 45 minuta</w:t>
      </w:r>
    </w:p>
    <w:p>
      <w:pPr>
        <w:pStyle w:val="Heading 2"/>
      </w:pPr>
      <w:r>
        <w:rPr>
          <w:rtl w:val="0"/>
        </w:rPr>
        <w:t xml:space="preserve">Obveze studenata </w:t>
      </w:r>
    </w:p>
    <w:p>
      <w:pPr>
        <w:pStyle w:val="Body A"/>
      </w:pPr>
      <w:r>
        <w:rPr>
          <w:rtl w:val="0"/>
          <w:lang w:val="it-IT"/>
        </w:rPr>
        <w:t>Studenti su du</w:t>
      </w:r>
      <w:r>
        <w:rPr>
          <w:rtl w:val="0"/>
        </w:rPr>
        <w:t>ž</w:t>
      </w:r>
      <w:r>
        <w:rPr>
          <w:rtl w:val="0"/>
        </w:rPr>
        <w:t>ni dolaziti na nastavu i ispunjavati povjerene zadatke.</w:t>
      </w:r>
    </w:p>
    <w:p>
      <w:pPr>
        <w:pStyle w:val="Heading 2"/>
      </w:pPr>
      <w:r>
        <w:rPr>
          <w:rtl w:val="0"/>
        </w:rPr>
        <w:t>Pra</w:t>
      </w:r>
      <w:r>
        <w:rPr>
          <w:rtl w:val="0"/>
        </w:rPr>
        <w:t>ć</w:t>
      </w:r>
      <w:r>
        <w:rPr>
          <w:rtl w:val="0"/>
        </w:rPr>
        <w:t xml:space="preserve">enje rada studenata </w:t>
      </w:r>
    </w:p>
    <w:p>
      <w:pPr>
        <w:pStyle w:val="Body A"/>
      </w:pPr>
      <w:r>
        <w:rPr>
          <w:rtl w:val="0"/>
        </w:rPr>
        <w:t>poha</w:t>
      </w:r>
      <w:r>
        <w:rPr>
          <w:rtl w:val="0"/>
        </w:rPr>
        <w:t>đ</w:t>
      </w:r>
      <w:r>
        <w:rPr>
          <w:rtl w:val="0"/>
        </w:rPr>
        <w:t>anje nastave, prakti</w:t>
      </w:r>
      <w:r>
        <w:rPr>
          <w:rtl w:val="0"/>
        </w:rPr>
        <w:t>č</w:t>
      </w:r>
      <w:r>
        <w:rPr>
          <w:rtl w:val="0"/>
        </w:rPr>
        <w:t>ni rad, seminarski rad, kolokvij</w:t>
      </w:r>
    </w:p>
    <w:p>
      <w:pPr>
        <w:pStyle w:val="Heading 2"/>
      </w:pPr>
      <w:r>
        <w:rPr>
          <w:rtl w:val="0"/>
        </w:rPr>
        <w:t>Na</w:t>
      </w:r>
      <w:r>
        <w:rPr>
          <w:rtl w:val="0"/>
        </w:rPr>
        <w:t>č</w:t>
      </w:r>
      <w:r>
        <w:rPr>
          <w:rtl w:val="0"/>
        </w:rPr>
        <w:t xml:space="preserve">in polaganja ispita </w:t>
      </w:r>
    </w:p>
    <w:p>
      <w:pPr>
        <w:pStyle w:val="Body A"/>
      </w:pPr>
      <w:r>
        <w:rPr>
          <w:rtl w:val="0"/>
        </w:rPr>
        <w:t>usmeni kolokvij</w:t>
      </w:r>
    </w:p>
    <w:p>
      <w:pPr>
        <w:pStyle w:val="Heading 2"/>
      </w:pPr>
      <w:r>
        <w:rPr>
          <w:rtl w:val="0"/>
        </w:rPr>
        <w:t>Datum(i) odr</w:t>
      </w:r>
      <w:r>
        <w:rPr>
          <w:rtl w:val="0"/>
        </w:rPr>
        <w:t>ž</w:t>
      </w:r>
      <w:r>
        <w:rPr>
          <w:rtl w:val="0"/>
        </w:rPr>
        <w:t xml:space="preserve">avanja ispita </w:t>
      </w:r>
    </w:p>
    <w:tbl>
      <w:tblPr>
        <w:tblW w:w="906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25"/>
        <w:gridCol w:w="741"/>
        <w:gridCol w:w="799"/>
        <w:gridCol w:w="740"/>
        <w:gridCol w:w="905"/>
        <w:gridCol w:w="838"/>
        <w:gridCol w:w="865"/>
        <w:gridCol w:w="865"/>
        <w:gridCol w:w="865"/>
        <w:gridCol w:w="754"/>
        <w:gridCol w:w="865"/>
      </w:tblGrid>
      <w:tr>
        <w:tblPrEx>
          <w:shd w:val="clear" w:color="auto" w:fill="cdd4e9"/>
        </w:tblPrEx>
        <w:trPr>
          <w:trHeight w:val="605" w:hRule="atLeast"/>
        </w:trPr>
        <w:tc>
          <w:tcPr>
            <w:tcW w:type="dxa" w:w="8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Izvanredni ispitni rokovi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Redovni ispitni rok ZIMSKI</w:t>
            </w:r>
          </w:p>
        </w:tc>
        <w:tc>
          <w:tcPr>
            <w:tcW w:type="dxa" w:w="17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Izvanredni ispitni rokovi</w:t>
            </w:r>
          </w:p>
        </w:tc>
        <w:tc>
          <w:tcPr>
            <w:tcW w:type="dxa" w:w="1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Redovni ispitni rok LJETNI</w:t>
            </w:r>
          </w:p>
        </w:tc>
        <w:tc>
          <w:tcPr>
            <w:tcW w:type="dxa" w:w="16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Redovni ispitni rok JESENSKI</w:t>
            </w:r>
          </w:p>
        </w:tc>
      </w:tr>
      <w:tr>
        <w:tblPrEx>
          <w:shd w:val="clear" w:color="auto" w:fill="cdd4e9"/>
        </w:tblPrEx>
        <w:trPr>
          <w:trHeight w:val="205" w:hRule="atLeast"/>
        </w:trPr>
        <w:tc>
          <w:tcPr>
            <w:tcW w:type="dxa" w:w="8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Studeni</w:t>
            </w:r>
          </w:p>
        </w:tc>
        <w:tc>
          <w:tcPr>
            <w:tcW w:type="dxa" w:w="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Prosinac</w:t>
            </w:r>
          </w:p>
        </w:tc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Sije</w:t>
            </w:r>
            <w:r>
              <w:rPr>
                <w:sz w:val="16"/>
                <w:szCs w:val="16"/>
                <w:shd w:val="nil" w:color="auto" w:fill="auto"/>
                <w:rtl w:val="0"/>
              </w:rPr>
              <w:t>č</w:t>
            </w:r>
            <w:r>
              <w:rPr>
                <w:sz w:val="16"/>
                <w:szCs w:val="16"/>
                <w:shd w:val="nil" w:color="auto" w:fill="auto"/>
                <w:rtl w:val="0"/>
              </w:rPr>
              <w:t>anj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Velja</w:t>
            </w:r>
            <w:r>
              <w:rPr>
                <w:sz w:val="16"/>
                <w:szCs w:val="16"/>
                <w:shd w:val="nil" w:color="auto" w:fill="auto"/>
                <w:rtl w:val="0"/>
              </w:rPr>
              <w:t>č</w:t>
            </w:r>
            <w:r>
              <w:rPr>
                <w:sz w:val="16"/>
                <w:szCs w:val="16"/>
                <w:shd w:val="nil" w:color="auto" w:fill="auto"/>
                <w:rtl w:val="0"/>
              </w:rPr>
              <w:t>a</w:t>
            </w:r>
          </w:p>
        </w:tc>
        <w:tc>
          <w:tcPr>
            <w:tcW w:type="dxa" w:w="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Travanj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Svibanj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Lipanj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Srpanj</w:t>
            </w:r>
          </w:p>
        </w:tc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Kolovoz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Rujan</w:t>
            </w:r>
          </w:p>
        </w:tc>
      </w:tr>
      <w:tr>
        <w:tblPrEx>
          <w:shd w:val="clear" w:color="auto" w:fill="cdd4e9"/>
        </w:tblPrEx>
        <w:trPr>
          <w:trHeight w:val="725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de-DE"/>
              </w:rPr>
              <w:t>Datum(i)</w:t>
            </w:r>
          </w:p>
        </w:tc>
        <w:tc>
          <w:tcPr>
            <w:tcW w:type="dxa" w:w="7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spacing w:line="240" w:lineRule="auto"/>
              <w:jc w:val="center"/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2.2.2026</w:t>
            </w:r>
          </w:p>
          <w:p>
            <w:pPr>
              <w:pStyle w:val="Body A A"/>
              <w:bidi w:val="0"/>
              <w:spacing w:line="240" w:lineRule="auto"/>
              <w:ind w:left="0" w:right="0" w:firstLine="0"/>
              <w:jc w:val="center"/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16.2.2026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23.2.2026</w:t>
            </w:r>
          </w:p>
        </w:tc>
        <w:tc>
          <w:tcPr>
            <w:tcW w:type="dxa" w:w="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6.4.2026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240" w:lineRule="auto"/>
              <w:jc w:val="center"/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11.5.2026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B"/>
              <w:spacing w:line="240" w:lineRule="auto"/>
              <w:jc w:val="center"/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8.6.2026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15.6.2026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spacing w:line="240" w:lineRule="auto"/>
              <w:jc w:val="center"/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6.7.2026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13.7.2026</w:t>
            </w:r>
          </w:p>
        </w:tc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spacing w:line="240" w:lineRule="auto"/>
              <w:jc w:val="center"/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7.9.2026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14.9.2026</w:t>
            </w:r>
          </w:p>
        </w:tc>
      </w:tr>
    </w:tbl>
    <w:p>
      <w:pPr>
        <w:pStyle w:val="Heading 2"/>
        <w:widowControl w:val="0"/>
        <w:spacing w:line="240" w:lineRule="auto"/>
        <w:ind w:left="324" w:hanging="324"/>
        <w:jc w:val="left"/>
      </w:pPr>
    </w:p>
    <w:p>
      <w:pPr>
        <w:pStyle w:val="Heading 2"/>
        <w:widowControl w:val="0"/>
        <w:spacing w:line="240" w:lineRule="auto"/>
        <w:ind w:left="216" w:hanging="216"/>
        <w:jc w:val="left"/>
      </w:pPr>
    </w:p>
    <w:p>
      <w:pPr>
        <w:pStyle w:val="Heading 2"/>
        <w:widowControl w:val="0"/>
        <w:spacing w:line="240" w:lineRule="auto"/>
        <w:ind w:left="108" w:hanging="108"/>
      </w:pPr>
    </w:p>
    <w:p>
      <w:pPr>
        <w:pStyle w:val="Heading 2"/>
        <w:widowControl w:val="0"/>
        <w:spacing w:line="240" w:lineRule="auto"/>
      </w:pPr>
    </w:p>
    <w:p>
      <w:pPr>
        <w:pStyle w:val="Heading 2"/>
      </w:pPr>
      <w:r>
        <w:rPr>
          <w:rtl w:val="0"/>
        </w:rPr>
        <w:t xml:space="preserve">Obvezna literatura </w:t>
      </w:r>
    </w:p>
    <w:p>
      <w:pPr>
        <w:pStyle w:val="List Paragraph"/>
        <w:numPr>
          <w:ilvl w:val="0"/>
          <w:numId w:val="6"/>
        </w:numPr>
      </w:pPr>
      <w:r>
        <w:rPr>
          <w:rtl w:val="0"/>
        </w:rPr>
        <w:t>Juri</w:t>
      </w:r>
      <w:r>
        <w:rPr>
          <w:rtl w:val="0"/>
        </w:rPr>
        <w:t xml:space="preserve">ć </w:t>
      </w:r>
      <w:r>
        <w:rPr>
          <w:rtl w:val="0"/>
        </w:rPr>
        <w:t>i sur. Dje</w:t>
      </w:r>
      <w:r>
        <w:rPr>
          <w:rtl w:val="0"/>
        </w:rPr>
        <w:t>č</w:t>
      </w:r>
      <w:r>
        <w:rPr>
          <w:rtl w:val="0"/>
        </w:rPr>
        <w:t>ja dentalna medicina, Naklada Slap, 2016. /odabrana poglavlja/</w:t>
      </w:r>
    </w:p>
    <w:p>
      <w:pPr>
        <w:pStyle w:val="List Paragraph"/>
        <w:numPr>
          <w:ilvl w:val="0"/>
          <w:numId w:val="8"/>
        </w:numPr>
      </w:pPr>
      <w:r>
        <w:rPr>
          <w:rtl w:val="0"/>
        </w:rPr>
        <w:t>Koch G, Poulsen S: Pediatric Dentistry - a clinical approach. Copenhagen: Munksgaard, 2001. (prijevod na hrvatski)</w:t>
      </w:r>
    </w:p>
    <w:p>
      <w:pPr>
        <w:pStyle w:val="Heading 2"/>
      </w:pPr>
      <w:r>
        <w:rPr>
          <w:rtl w:val="0"/>
        </w:rPr>
        <w:t>Dopunska literatura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Angus C. Cameron, Richard P. Widmer: Handbook of Pediatric Dentistry, Second Edition;Mosby; Edinburgh-London-New York-Oxford-Philadelphia-St.Louis-Sydney-Toronto, 2003.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 xml:space="preserve">Welbury R, Duggal M, Hosey MT. Paediatric dentistry. Oxford: Oxford University Press, 2005.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  <w:font w:name="Helvetica Neue">
    <w:charset w:val="00"/>
    <w:family w:val="roman"/>
    <w:pitch w:val="default"/>
  </w:font>
  <w:font w:name="ＭＳ ゴシック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36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360"/>
      </w:tabs>
      <w:rPr>
        <w:b w:val="1"/>
        <w:bCs w:val="1"/>
      </w:rPr>
    </w:pPr>
    <w:r>
      <w:rPr>
        <w:b w:val="1"/>
        <w:bCs w:val="1"/>
        <w:rtl w:val="0"/>
      </w:rPr>
      <w:t>Sveu</w:t>
    </w:r>
    <w:r>
      <w:rPr>
        <w:b w:val="1"/>
        <w:bCs w:val="1"/>
        <w:rtl w:val="0"/>
      </w:rPr>
      <w:t>č</w:t>
    </w:r>
    <w:r>
      <w:rPr>
        <w:b w:val="1"/>
        <w:bCs w:val="1"/>
        <w:rtl w:val="0"/>
      </w:rPr>
      <w:t>ili</w:t>
    </w:r>
    <w:r>
      <w:rPr>
        <w:b w:val="1"/>
        <w:bCs w:val="1"/>
        <w:rtl w:val="0"/>
      </w:rPr>
      <w:t>š</w:t>
    </w:r>
    <w:r>
      <w:rPr>
        <w:b w:val="1"/>
        <w:bCs w:val="1"/>
        <w:rtl w:val="0"/>
      </w:rPr>
      <w:t>te u Zagrebu Stomatolo</w:t>
    </w:r>
    <w:r>
      <w:rPr>
        <w:b w:val="1"/>
        <w:bCs w:val="1"/>
        <w:rtl w:val="0"/>
      </w:rPr>
      <w:t>š</w:t>
    </w:r>
    <w:r>
      <w:rPr>
        <w:b w:val="1"/>
        <w:bCs w:val="1"/>
        <w:rtl w:val="0"/>
      </w:rPr>
      <w:t>ki fakultet</w:t>
    </w:r>
  </w:p>
  <w:p>
    <w:pPr>
      <w:pStyle w:val="header"/>
      <w:pBdr>
        <w:top w:val="nil"/>
        <w:left w:val="nil"/>
        <w:bottom w:val="single" w:color="000000" w:sz="6" w:space="0" w:shadow="0" w:frame="0"/>
        <w:right w:val="nil"/>
      </w:pBdr>
      <w:tabs>
        <w:tab w:val="right" w:pos="9046"/>
        <w:tab w:val="clear" w:pos="9360"/>
      </w:tabs>
    </w:pPr>
    <w:r>
      <w:rPr>
        <w:rtl w:val="0"/>
      </w:rPr>
      <w:t>Integrirani preddiplomski i diplomski studij Dentalna medicina</w:t>
    </w:r>
  </w:p>
  <w:p>
    <w:pPr>
      <w:pStyle w:val="header"/>
      <w:tabs>
        <w:tab w:val="right" w:pos="9046"/>
        <w:tab w:val="clear" w:pos="9360"/>
      </w:tabs>
      <w:jc w:val="right"/>
    </w:pPr>
    <w:r>
      <w:rPr>
        <w:i w:val="1"/>
        <w:iCs w:val="1"/>
        <w:rtl w:val="0"/>
      </w:rPr>
      <w:t>Akademska godina 2025./2026.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5"/>
  </w:abstractNum>
  <w:abstractNum w:abstractNumId="5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6"/>
  </w:abstractNum>
  <w:abstractNum w:abstractNumId="7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6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6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40" w:line="259" w:lineRule="auto"/>
      <w:ind w:left="0" w:right="0" w:firstLine="0"/>
      <w:jc w:val="both"/>
      <w:outlineLvl w:val="0"/>
    </w:pPr>
    <w:rPr>
      <w:rFonts w:ascii="Carlito" w:cs="Arial Unicode MS" w:hAnsi="Carlit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4"/>
      <w:szCs w:val="24"/>
      <w:u w:val="none" w:color="2f5496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59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59" w:lineRule="auto"/>
      <w:ind w:left="72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59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59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5">
    <w:name w:val="Imported Style 5"/>
    <w:pPr>
      <w:numPr>
        <w:numId w:val="5"/>
      </w:numPr>
    </w:pPr>
  </w:style>
  <w:style w:type="numbering" w:styleId="Imported Style 6">
    <w:name w:val="Imported Style 6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