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FB" w:rsidRPr="000900FB" w:rsidRDefault="000900FB" w:rsidP="000900FB">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x-none" w:eastAsia="x-none"/>
        </w:rPr>
      </w:pPr>
      <w:r w:rsidRPr="000900FB">
        <w:rPr>
          <w:rFonts w:ascii="Cambria" w:eastAsia="Times New Roman" w:hAnsi="Cambria" w:cs="Times New Roman"/>
          <w:color w:val="17365D"/>
          <w:spacing w:val="5"/>
          <w:kern w:val="28"/>
          <w:sz w:val="52"/>
          <w:szCs w:val="52"/>
          <w:lang w:val="x-none" w:eastAsia="x-none"/>
        </w:rPr>
        <w:t xml:space="preserve">Program predmeta </w:t>
      </w: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Osnovne informacije</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Naziv predmeta: Okluzija i funkcija</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Šifre: </w:t>
      </w:r>
      <w:r w:rsidR="00160F10">
        <w:rPr>
          <w:rFonts w:ascii="Calibri" w:eastAsia="Calibri" w:hAnsi="Calibri" w:cs="Times New Roman"/>
          <w:b/>
        </w:rPr>
        <w:t>73927</w:t>
      </w:r>
      <w:r w:rsidRPr="000900FB">
        <w:rPr>
          <w:rFonts w:ascii="Calibri" w:eastAsia="Calibri" w:hAnsi="Calibri" w:cs="Times New Roman"/>
        </w:rPr>
        <w:t xml:space="preserve"> </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Broj ECTS:1.5</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Broj sati: 15P</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Ustrojstvena jedinica:  Zavod za mobilnu protetiku</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Nositelj: Doc.dr.sc.Domagoj Žabarović</w:t>
      </w: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Nastavnici i suradnici:</w:t>
      </w:r>
    </w:p>
    <w:p w:rsidR="000900FB" w:rsidRPr="000900FB" w:rsidRDefault="000900FB" w:rsidP="000900FB">
      <w:pPr>
        <w:rPr>
          <w:rFonts w:ascii="Calibri" w:eastAsia="Calibri" w:hAnsi="Calibri" w:cs="Times New Roman"/>
        </w:rPr>
      </w:pPr>
      <w:r w:rsidRPr="000900FB">
        <w:rPr>
          <w:rFonts w:ascii="Calibri" w:eastAsia="Calibri" w:hAnsi="Calibri" w:cs="Times New Roman"/>
        </w:rPr>
        <w:t>Doc.dr.sc. Domagoj Žabarović</w:t>
      </w:r>
    </w:p>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p w:rsidR="000900FB" w:rsidRPr="000900FB" w:rsidRDefault="000900FB" w:rsidP="000900FB">
      <w:pPr>
        <w:rPr>
          <w:rFonts w:ascii="Calibri" w:eastAsia="Calibri" w:hAnsi="Calibri" w:cs="Times New Roman"/>
        </w:rPr>
      </w:pP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Opis i cilj predmeta</w:t>
      </w:r>
    </w:p>
    <w:p w:rsidR="000900FB" w:rsidRPr="000900FB" w:rsidRDefault="000900FB" w:rsidP="000900FB">
      <w:pPr>
        <w:rPr>
          <w:rFonts w:ascii="Calibri" w:eastAsia="Calibri" w:hAnsi="Calibri" w:cs="Times New Roman"/>
        </w:rPr>
      </w:pPr>
    </w:p>
    <w:p w:rsidR="000900FB" w:rsidRPr="000900FB" w:rsidRDefault="000900FB" w:rsidP="000900FB">
      <w:pPr>
        <w:rPr>
          <w:rFonts w:ascii="Calibri" w:eastAsia="Calibri" w:hAnsi="Calibri" w:cs="Times New Roman"/>
        </w:rPr>
      </w:pPr>
      <w:r w:rsidRPr="000900FB">
        <w:rPr>
          <w:rFonts w:ascii="Calibri" w:eastAsia="Calibri" w:hAnsi="Calibri" w:cs="Times New Roman"/>
        </w:rPr>
        <w:t>Predmet Okluzija i funkcija je nastavak (nadgradnja) na predmet Okluzija koji su studenti slušali u sedmom semestru i gdje su upoznati s osnovama, terminologijom, anatomijom i fiziolofijom svih komponenti stomatognatog sustava.U predmetu Okluzija i funkcija student se treba detaljnije upoznati s principima i kriterijima za postizanje normalnog, funkcijski zdravog stomatognatog sustava i tzv. ortopedski stabilnih okluzijskih odnosa. Treba znati razlike između okluzijskih koncepcija na prirodnim zubima od onih na umjetnim zubima, te se upoznati s osobitostima okluzijskih koncepcija za pojedine vrste protetskih radova. Student se treba naučiti razlikovati optimalne okluzijske odnose od neadekvatne rekonstrukcije okluzije, te znati štetne posljedice za stomatognatni sustav uzrokovane nedostatnom okluzijom. Student se treba kroz različite kliničke slučajeve osposobiti za samostalno odlučivanje i odabir okluzijske terapije, te savladati načine objektivnog bilježenja okluzijskih dodira i funkcije stomatognatog sustava.</w:t>
      </w:r>
    </w:p>
    <w:p w:rsidR="000900FB" w:rsidRPr="000900FB" w:rsidRDefault="000900FB" w:rsidP="000900FB">
      <w:pPr>
        <w:rPr>
          <w:rFonts w:ascii="Calibri" w:eastAsia="Calibri" w:hAnsi="Calibri" w:cs="Times New Roman"/>
        </w:rPr>
      </w:pP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Način ocjenjivanja</w:t>
      </w:r>
    </w:p>
    <w:p w:rsidR="000900FB" w:rsidRPr="000900FB" w:rsidRDefault="000900FB" w:rsidP="000900FB">
      <w:pPr>
        <w:rPr>
          <w:rFonts w:ascii="Calibri" w:eastAsia="Calibri" w:hAnsi="Calibri" w:cs="Times New Roman"/>
        </w:rPr>
      </w:pPr>
      <w:r w:rsidRPr="000900FB">
        <w:rPr>
          <w:rFonts w:ascii="Calibri" w:eastAsia="Calibri" w:hAnsi="Calibri" w:cs="Times New Roman"/>
        </w:rPr>
        <w:t>Ukupna ocjena donosi se na temelju svih elemenata tijekom semestra- ocjena angažiranosti i kreativnosti u radu, te ocjena  završnog testa znanja putem pismenog ispita.</w:t>
      </w:r>
    </w:p>
    <w:p w:rsidR="000900FB" w:rsidRPr="000900FB" w:rsidRDefault="000900FB" w:rsidP="000900FB">
      <w:pPr>
        <w:rPr>
          <w:rFonts w:ascii="Calibri" w:eastAsia="Calibri" w:hAnsi="Calibri" w:cs="Times New Roman"/>
        </w:rPr>
      </w:pP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Obaveze studenata</w:t>
      </w:r>
    </w:p>
    <w:p w:rsidR="000900FB" w:rsidRPr="000900FB" w:rsidRDefault="000900FB" w:rsidP="000900FB">
      <w:pPr>
        <w:rPr>
          <w:rFonts w:ascii="Calibri" w:eastAsia="Calibri" w:hAnsi="Calibri" w:cs="Times New Roman"/>
        </w:rPr>
      </w:pPr>
      <w:r w:rsidRPr="000900FB">
        <w:rPr>
          <w:rFonts w:ascii="Calibri" w:eastAsia="Calibri" w:hAnsi="Calibri" w:cs="Times New Roman"/>
        </w:rPr>
        <w:t>Redovito prisustvovati predavanjima, aktivno sudjelovati u nastavi, ispunjavati zadatke u toku nastave (priprema tema za seminare), priprema za provjeru znanja (završni ispit).</w:t>
      </w:r>
    </w:p>
    <w:p w:rsidR="000900FB" w:rsidRPr="000900FB" w:rsidRDefault="000900FB" w:rsidP="000900FB">
      <w:pPr>
        <w:rPr>
          <w:rFonts w:ascii="Calibri" w:eastAsia="Calibri" w:hAnsi="Calibri" w:cs="Times New Roman"/>
        </w:rPr>
      </w:pP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Literatura</w:t>
      </w:r>
    </w:p>
    <w:p w:rsidR="000900FB" w:rsidRPr="000900FB" w:rsidRDefault="000900FB" w:rsidP="000900FB">
      <w:pPr>
        <w:rPr>
          <w:rFonts w:ascii="Calibri" w:eastAsia="Calibri" w:hAnsi="Calibri" w:cs="Times New Roman"/>
        </w:rPr>
      </w:pPr>
      <w:r w:rsidRPr="000900FB">
        <w:rPr>
          <w:rFonts w:ascii="Calibri" w:eastAsia="Calibri" w:hAnsi="Calibri" w:cs="Times New Roman"/>
        </w:rPr>
        <w:t>Obavezna literatura:</w:t>
      </w:r>
    </w:p>
    <w:p w:rsidR="000900FB" w:rsidRPr="000900FB" w:rsidRDefault="000900FB" w:rsidP="000900FB">
      <w:pPr>
        <w:numPr>
          <w:ilvl w:val="0"/>
          <w:numId w:val="1"/>
        </w:numPr>
        <w:rPr>
          <w:rFonts w:ascii="Calibri" w:eastAsia="Calibri" w:hAnsi="Calibri" w:cs="Times New Roman"/>
        </w:rPr>
      </w:pPr>
      <w:r w:rsidRPr="000900FB">
        <w:rPr>
          <w:rFonts w:ascii="Calibri" w:eastAsia="Calibri" w:hAnsi="Calibri" w:cs="Times New Roman"/>
        </w:rPr>
        <w:t>Okeson J.P. Temporomandibularni poremećeji i okluzija. 1. Hrvatsko izdanje. Valentić-Peruzović M.,ured.hrv.izd.Medicinska naklada, Zagreb. 2008.</w:t>
      </w:r>
    </w:p>
    <w:p w:rsidR="000900FB" w:rsidRPr="000900FB" w:rsidRDefault="000900FB" w:rsidP="000900FB">
      <w:pPr>
        <w:numPr>
          <w:ilvl w:val="0"/>
          <w:numId w:val="1"/>
        </w:numPr>
        <w:rPr>
          <w:rFonts w:ascii="Calibri" w:eastAsia="Calibri" w:hAnsi="Calibri" w:cs="Times New Roman"/>
        </w:rPr>
      </w:pPr>
      <w:r w:rsidRPr="000900FB">
        <w:rPr>
          <w:rFonts w:ascii="Calibri" w:eastAsia="Calibri" w:hAnsi="Calibri" w:cs="Times New Roman"/>
        </w:rPr>
        <w:t>Ash Jr, M.M, Nelson S.J. Wheeler's Dental Anatomy, Physiology and Occlusion. Elsevier Science, 8</w:t>
      </w:r>
      <w:r w:rsidRPr="000900FB">
        <w:rPr>
          <w:rFonts w:ascii="Calibri" w:eastAsia="Calibri" w:hAnsi="Calibri" w:cs="Calibri"/>
        </w:rPr>
        <w:t>™ ed., 2002.</w:t>
      </w:r>
    </w:p>
    <w:p w:rsidR="000900FB" w:rsidRPr="000900FB" w:rsidRDefault="000900FB" w:rsidP="000900FB">
      <w:pPr>
        <w:ind w:left="720"/>
        <w:rPr>
          <w:rFonts w:ascii="Calibri" w:eastAsia="Calibri" w:hAnsi="Calibri" w:cs="Calibri"/>
        </w:rPr>
      </w:pPr>
      <w:r w:rsidRPr="000900FB">
        <w:rPr>
          <w:rFonts w:ascii="Calibri" w:eastAsia="Calibri" w:hAnsi="Calibri" w:cs="Calibri"/>
        </w:rPr>
        <w:t>Preporučena literatura:</w:t>
      </w:r>
    </w:p>
    <w:p w:rsidR="000900FB" w:rsidRPr="000900FB" w:rsidRDefault="000900FB" w:rsidP="000900FB">
      <w:pPr>
        <w:numPr>
          <w:ilvl w:val="0"/>
          <w:numId w:val="2"/>
        </w:numPr>
        <w:rPr>
          <w:rFonts w:ascii="Calibri" w:eastAsia="Calibri" w:hAnsi="Calibri" w:cs="Times New Roman"/>
        </w:rPr>
      </w:pPr>
      <w:r w:rsidRPr="000900FB">
        <w:rPr>
          <w:rFonts w:ascii="Calibri" w:eastAsia="Calibri" w:hAnsi="Calibri" w:cs="Calibri"/>
        </w:rPr>
        <w:t>Wassell R, Naru A, Steele J, Nohl F. Applied Occlusion. Quintessence publishing Co.Ltd. London. 2008.</w:t>
      </w:r>
    </w:p>
    <w:p w:rsidR="000900FB" w:rsidRPr="000900FB" w:rsidRDefault="000900FB" w:rsidP="000900FB">
      <w:pPr>
        <w:rPr>
          <w:rFonts w:ascii="Calibri" w:eastAsia="Calibri" w:hAnsi="Calibri" w:cs="Times New Roman"/>
        </w:rPr>
      </w:pP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Ispitni rokovi</w:t>
      </w:r>
    </w:p>
    <w:p w:rsidR="000900FB" w:rsidRPr="000900FB" w:rsidRDefault="000900FB" w:rsidP="000900FB">
      <w:pPr>
        <w:rPr>
          <w:rFonts w:ascii="Calibri" w:eastAsia="Calibri" w:hAnsi="Calibri" w:cs="Times New Roman"/>
        </w:rPr>
      </w:pPr>
      <w:r w:rsidRPr="000900FB">
        <w:rPr>
          <w:rFonts w:ascii="Calibri" w:eastAsia="Calibri" w:hAnsi="Calibri" w:cs="Times New Roman"/>
        </w:rPr>
        <w:t>Ispiti se održavaju u redovitom zimskom, ljetnom i jesenskom ispitnom roku.</w:t>
      </w:r>
    </w:p>
    <w:p w:rsidR="000900FB" w:rsidRPr="000900FB" w:rsidRDefault="000900FB" w:rsidP="000900FB">
      <w:pPr>
        <w:keepNext/>
        <w:keepLines/>
        <w:spacing w:before="480" w:after="0"/>
        <w:outlineLvl w:val="0"/>
        <w:rPr>
          <w:rFonts w:ascii="Cambria" w:eastAsia="Times New Roman" w:hAnsi="Cambria" w:cs="Times New Roman"/>
          <w:b/>
          <w:bCs/>
          <w:sz w:val="28"/>
          <w:szCs w:val="28"/>
          <w:lang w:val="x-none" w:eastAsia="x-none"/>
        </w:rPr>
      </w:pPr>
      <w:r w:rsidRPr="000900FB">
        <w:rPr>
          <w:rFonts w:ascii="Cambria" w:eastAsia="Times New Roman" w:hAnsi="Cambria" w:cs="Times New Roman"/>
          <w:b/>
          <w:bCs/>
          <w:sz w:val="28"/>
          <w:szCs w:val="28"/>
          <w:lang w:val="x-none" w:eastAsia="x-none"/>
        </w:rPr>
        <w:t>Plan nastave</w:t>
      </w:r>
    </w:p>
    <w:p w:rsidR="000900FB" w:rsidRPr="000900FB" w:rsidRDefault="000900FB" w:rsidP="000900FB">
      <w:pPr>
        <w:keepNext/>
        <w:keepLines/>
        <w:spacing w:before="200" w:after="0"/>
        <w:outlineLvl w:val="1"/>
        <w:rPr>
          <w:rFonts w:ascii="Cambria" w:eastAsia="Times New Roman" w:hAnsi="Cambria" w:cs="Times New Roman"/>
          <w:b/>
          <w:bCs/>
          <w:sz w:val="26"/>
          <w:szCs w:val="26"/>
          <w:lang w:val="x-none" w:eastAsia="x-none"/>
        </w:rPr>
      </w:pPr>
      <w:r w:rsidRPr="000900FB">
        <w:rPr>
          <w:rFonts w:ascii="Cambria" w:eastAsia="Times New Roman" w:hAnsi="Cambria" w:cs="Times New Roman"/>
          <w:b/>
          <w:bCs/>
          <w:sz w:val="26"/>
          <w:szCs w:val="26"/>
          <w:lang w:val="x-none" w:eastAsia="x-none"/>
        </w:rPr>
        <w:t>Predavanja: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085"/>
        <w:gridCol w:w="1332"/>
        <w:gridCol w:w="1425"/>
        <w:gridCol w:w="1772"/>
      </w:tblGrid>
      <w:tr w:rsidR="000900FB" w:rsidRPr="000900FB" w:rsidTr="003C2EF1">
        <w:tc>
          <w:tcPr>
            <w:tcW w:w="363" w:type="pct"/>
            <w:shd w:val="clear" w:color="auto" w:fill="auto"/>
          </w:tcPr>
          <w:p w:rsidR="000900FB" w:rsidRPr="000900FB" w:rsidRDefault="000900FB" w:rsidP="000900FB">
            <w:pPr>
              <w:spacing w:after="0" w:line="240" w:lineRule="auto"/>
              <w:jc w:val="center"/>
              <w:rPr>
                <w:rFonts w:ascii="Calibri" w:eastAsia="Calibri" w:hAnsi="Calibri" w:cs="Times New Roman"/>
                <w:b/>
              </w:rPr>
            </w:pPr>
            <w:r w:rsidRPr="000900FB">
              <w:rPr>
                <w:rFonts w:ascii="Calibri" w:eastAsia="Calibri" w:hAnsi="Calibri" w:cs="Times New Roman"/>
                <w:b/>
              </w:rPr>
              <w:t>R.br.</w:t>
            </w:r>
          </w:p>
        </w:tc>
        <w:tc>
          <w:tcPr>
            <w:tcW w:w="2199" w:type="pct"/>
            <w:shd w:val="clear" w:color="auto" w:fill="auto"/>
          </w:tcPr>
          <w:p w:rsidR="000900FB" w:rsidRPr="000900FB" w:rsidRDefault="000900FB" w:rsidP="000900FB">
            <w:pPr>
              <w:spacing w:after="0" w:line="240" w:lineRule="auto"/>
              <w:jc w:val="center"/>
              <w:rPr>
                <w:rFonts w:ascii="Calibri" w:eastAsia="Calibri" w:hAnsi="Calibri" w:cs="Times New Roman"/>
                <w:b/>
              </w:rPr>
            </w:pPr>
            <w:r w:rsidRPr="000900FB">
              <w:rPr>
                <w:rFonts w:ascii="Calibri" w:eastAsia="Calibri" w:hAnsi="Calibri" w:cs="Times New Roman"/>
                <w:b/>
              </w:rPr>
              <w:t>Tema</w:t>
            </w:r>
          </w:p>
        </w:tc>
        <w:tc>
          <w:tcPr>
            <w:tcW w:w="717" w:type="pct"/>
            <w:shd w:val="clear" w:color="auto" w:fill="auto"/>
          </w:tcPr>
          <w:p w:rsidR="000900FB" w:rsidRPr="000900FB" w:rsidRDefault="000900FB" w:rsidP="000900FB">
            <w:pPr>
              <w:spacing w:after="0" w:line="240" w:lineRule="auto"/>
              <w:jc w:val="center"/>
              <w:rPr>
                <w:rFonts w:ascii="Calibri" w:eastAsia="Calibri" w:hAnsi="Calibri" w:cs="Times New Roman"/>
                <w:b/>
              </w:rPr>
            </w:pPr>
            <w:r w:rsidRPr="000900FB">
              <w:rPr>
                <w:rFonts w:ascii="Calibri" w:eastAsia="Calibri" w:hAnsi="Calibri" w:cs="Times New Roman"/>
                <w:b/>
              </w:rPr>
              <w:t>Datum</w:t>
            </w:r>
          </w:p>
        </w:tc>
        <w:tc>
          <w:tcPr>
            <w:tcW w:w="767" w:type="pct"/>
            <w:shd w:val="clear" w:color="auto" w:fill="auto"/>
          </w:tcPr>
          <w:p w:rsidR="000900FB" w:rsidRPr="000900FB" w:rsidRDefault="000900FB" w:rsidP="000900FB">
            <w:pPr>
              <w:spacing w:after="0" w:line="240" w:lineRule="auto"/>
              <w:jc w:val="center"/>
              <w:rPr>
                <w:rFonts w:ascii="Calibri" w:eastAsia="Calibri" w:hAnsi="Calibri" w:cs="Times New Roman"/>
                <w:b/>
              </w:rPr>
            </w:pPr>
            <w:r w:rsidRPr="000900FB">
              <w:rPr>
                <w:rFonts w:ascii="Calibri" w:eastAsia="Calibri" w:hAnsi="Calibri" w:cs="Times New Roman"/>
                <w:b/>
              </w:rPr>
              <w:t>Mjesto i vrijeme</w:t>
            </w:r>
          </w:p>
        </w:tc>
        <w:tc>
          <w:tcPr>
            <w:tcW w:w="954" w:type="pct"/>
            <w:shd w:val="clear" w:color="auto" w:fill="auto"/>
          </w:tcPr>
          <w:p w:rsidR="000900FB" w:rsidRPr="000900FB" w:rsidRDefault="000900FB" w:rsidP="000900FB">
            <w:pPr>
              <w:spacing w:after="0" w:line="240" w:lineRule="auto"/>
              <w:jc w:val="center"/>
              <w:rPr>
                <w:rFonts w:ascii="Calibri" w:eastAsia="Calibri" w:hAnsi="Calibri" w:cs="Times New Roman"/>
                <w:b/>
              </w:rPr>
            </w:pPr>
            <w:r w:rsidRPr="000900FB">
              <w:rPr>
                <w:rFonts w:ascii="Calibri" w:eastAsia="Calibri" w:hAnsi="Calibri" w:cs="Times New Roman"/>
                <w:b/>
              </w:rPr>
              <w:t>Predavač</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Uvodno predavanje</w:t>
            </w:r>
          </w:p>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Statički i dinamički okluzijski dodiri</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 listopada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2.</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Osnovni točkasti dodiri zubnih površina (A,B,C,-dodiri), dodiri na prirodnim zubima, na umjetnim zubima, na protetskim radovima nošenim  implantatima</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15. listopada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3.</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Okluzijske koncepcije-klasične i suvremene</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22. listopada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4.</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Centrična relacija, maksimalna interkuspidacija, metode deprogamiranja i vođenje mandibule</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29. listopada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5.</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Intraoralni registrati, metode i provjere</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5. studenog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rPr>
          <w:trHeight w:val="616"/>
        </w:trPr>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6.</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color w:val="000000"/>
              </w:rPr>
            </w:pPr>
            <w:r w:rsidRPr="000900FB">
              <w:rPr>
                <w:rFonts w:ascii="Calibri" w:eastAsia="Calibri" w:hAnsi="Calibri" w:cs="Times New Roman"/>
                <w:color w:val="000000"/>
              </w:rPr>
              <w:t>Oblik i načini bilježenja kretnji donje čeljusti</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12. studenog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p w:rsidR="000900FB" w:rsidRPr="000900FB" w:rsidRDefault="000900FB" w:rsidP="000900FB">
            <w:pPr>
              <w:rPr>
                <w:rFonts w:ascii="Calibri" w:eastAsia="Calibri" w:hAnsi="Calibri" w:cs="Times New Roman"/>
              </w:rPr>
            </w:pP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7.</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Korištenje poluprilagodljivih artikulatora u svakodnevnoj praksi </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19. studenog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8.</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Prijenos obraznim lukom i izbor referentne ravnine </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26. studenog 2014. </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9.</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Okluzijska ekvilibracija</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3. prosinca 2014. </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10.</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Poremećaj okluzije i promjene na ostalim dijelovima stomatognatog sustava </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10. prosinca 2014. </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 Ivica Pelivan</w:t>
            </w:r>
          </w:p>
        </w:tc>
      </w:tr>
      <w:tr w:rsidR="000900FB" w:rsidRPr="000900FB" w:rsidTr="003C2EF1">
        <w:tc>
          <w:tcPr>
            <w:tcW w:w="363"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11.</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 xml:space="preserve">Poremećaj okluzijskih dodira abrazijom okluzijskih površina </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17. prosinca 2014.</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1D2817" w:rsidP="000900FB">
            <w:pPr>
              <w:spacing w:after="0" w:line="240" w:lineRule="auto"/>
              <w:rPr>
                <w:rFonts w:ascii="Calibri" w:eastAsia="Calibri" w:hAnsi="Calibri" w:cs="Times New Roman"/>
              </w:rPr>
            </w:pPr>
            <w:r>
              <w:rPr>
                <w:rFonts w:ascii="Calibri" w:eastAsia="Calibri" w:hAnsi="Calibri" w:cs="Times New Roman"/>
              </w:rPr>
              <w:t>12</w:t>
            </w:r>
            <w:r w:rsidR="000900FB" w:rsidRPr="000900FB">
              <w:rPr>
                <w:rFonts w:ascii="Calibri" w:eastAsia="Calibri" w:hAnsi="Calibri" w:cs="Times New Roman"/>
              </w:rPr>
              <w:t>.</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color w:val="000000"/>
              </w:rPr>
            </w:pPr>
            <w:r w:rsidRPr="000900FB">
              <w:rPr>
                <w:rFonts w:ascii="Calibri" w:eastAsia="Calibri" w:hAnsi="Calibri" w:cs="Times New Roman"/>
                <w:color w:val="000000"/>
              </w:rPr>
              <w:t>Reokluzija protetskih radova u ustima pacijenta i u artikulatoru (remontaža)</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7. siječnja 2015.</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 Ivica Pelivan</w:t>
            </w:r>
          </w:p>
        </w:tc>
      </w:tr>
      <w:tr w:rsidR="000900FB" w:rsidRPr="000900FB" w:rsidTr="003C2EF1">
        <w:tc>
          <w:tcPr>
            <w:tcW w:w="363" w:type="pct"/>
            <w:shd w:val="clear" w:color="auto" w:fill="auto"/>
          </w:tcPr>
          <w:p w:rsidR="000900FB" w:rsidRPr="000900FB" w:rsidRDefault="001D2817" w:rsidP="000900FB">
            <w:pPr>
              <w:spacing w:after="0" w:line="240" w:lineRule="auto"/>
              <w:rPr>
                <w:rFonts w:ascii="Calibri" w:eastAsia="Calibri" w:hAnsi="Calibri" w:cs="Times New Roman"/>
              </w:rPr>
            </w:pPr>
            <w:r>
              <w:rPr>
                <w:rFonts w:ascii="Calibri" w:eastAsia="Calibri" w:hAnsi="Calibri" w:cs="Times New Roman"/>
              </w:rPr>
              <w:t>13</w:t>
            </w:r>
            <w:r w:rsidR="000900FB" w:rsidRPr="000900FB">
              <w:rPr>
                <w:rFonts w:ascii="Calibri" w:eastAsia="Calibri" w:hAnsi="Calibri" w:cs="Times New Roman"/>
              </w:rPr>
              <w:t>.</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color w:val="000000"/>
              </w:rPr>
            </w:pPr>
            <w:r w:rsidRPr="000900FB">
              <w:rPr>
                <w:rFonts w:ascii="Calibri" w:eastAsia="Calibri" w:hAnsi="Calibri" w:cs="Times New Roman"/>
                <w:color w:val="000000"/>
              </w:rPr>
              <w:t>Planiranje i provjera okluzije na pojedinim vrstama protetskih radova</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14. siječnja 2015.</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rPr>
                <w:rFonts w:ascii="Calibri" w:eastAsia="Calibri" w:hAnsi="Calibri" w:cs="Times New Roman"/>
              </w:rPr>
            </w:pPr>
            <w:r w:rsidRPr="000900FB">
              <w:rPr>
                <w:rFonts w:ascii="Calibri" w:eastAsia="Calibri" w:hAnsi="Calibri" w:cs="Times New Roman"/>
              </w:rPr>
              <w:t>Doc.dr.sc.Domagoj Žabarović</w:t>
            </w:r>
          </w:p>
        </w:tc>
      </w:tr>
      <w:tr w:rsidR="000900FB" w:rsidRPr="000900FB" w:rsidTr="003C2EF1">
        <w:tc>
          <w:tcPr>
            <w:tcW w:w="363" w:type="pct"/>
            <w:shd w:val="clear" w:color="auto" w:fill="auto"/>
          </w:tcPr>
          <w:p w:rsidR="000900FB" w:rsidRPr="000900FB" w:rsidRDefault="001D2817" w:rsidP="000900FB">
            <w:pPr>
              <w:spacing w:after="0" w:line="240" w:lineRule="auto"/>
              <w:rPr>
                <w:rFonts w:ascii="Calibri" w:eastAsia="Calibri" w:hAnsi="Calibri" w:cs="Times New Roman"/>
              </w:rPr>
            </w:pPr>
            <w:r>
              <w:rPr>
                <w:rFonts w:ascii="Calibri" w:eastAsia="Calibri" w:hAnsi="Calibri" w:cs="Times New Roman"/>
              </w:rPr>
              <w:t>14</w:t>
            </w:r>
            <w:bookmarkStart w:id="0" w:name="_GoBack"/>
            <w:bookmarkEnd w:id="0"/>
            <w:r w:rsidR="000900FB" w:rsidRPr="000900FB">
              <w:rPr>
                <w:rFonts w:ascii="Calibri" w:eastAsia="Calibri" w:hAnsi="Calibri" w:cs="Times New Roman"/>
              </w:rPr>
              <w:t>.</w:t>
            </w:r>
          </w:p>
        </w:tc>
        <w:tc>
          <w:tcPr>
            <w:tcW w:w="2199" w:type="pct"/>
            <w:shd w:val="clear" w:color="auto" w:fill="auto"/>
          </w:tcPr>
          <w:p w:rsidR="000900FB" w:rsidRPr="000900FB" w:rsidRDefault="000900FB" w:rsidP="000900FB">
            <w:pPr>
              <w:spacing w:after="0" w:line="240" w:lineRule="auto"/>
              <w:rPr>
                <w:rFonts w:ascii="Calibri" w:eastAsia="Calibri" w:hAnsi="Calibri" w:cs="Times New Roman"/>
                <w:color w:val="000000"/>
              </w:rPr>
            </w:pPr>
            <w:r w:rsidRPr="000900FB">
              <w:rPr>
                <w:rFonts w:ascii="Calibri" w:eastAsia="Calibri" w:hAnsi="Calibri" w:cs="Times New Roman"/>
                <w:color w:val="000000"/>
              </w:rPr>
              <w:t>Planiranje i provjera okluzije na implanto-protetskim radovima</w:t>
            </w:r>
          </w:p>
        </w:tc>
        <w:tc>
          <w:tcPr>
            <w:tcW w:w="71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21. siječnja 2015.</w:t>
            </w:r>
          </w:p>
        </w:tc>
        <w:tc>
          <w:tcPr>
            <w:tcW w:w="767"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G5 18 30-19 15</w:t>
            </w:r>
          </w:p>
        </w:tc>
        <w:tc>
          <w:tcPr>
            <w:tcW w:w="954" w:type="pct"/>
            <w:shd w:val="clear" w:color="auto" w:fill="auto"/>
          </w:tcPr>
          <w:p w:rsidR="000900FB" w:rsidRPr="000900FB" w:rsidRDefault="000900FB" w:rsidP="000900FB">
            <w:pPr>
              <w:spacing w:after="0" w:line="240" w:lineRule="auto"/>
              <w:rPr>
                <w:rFonts w:ascii="Calibri" w:eastAsia="Calibri" w:hAnsi="Calibri" w:cs="Times New Roman"/>
              </w:rPr>
            </w:pPr>
            <w:r w:rsidRPr="000900FB">
              <w:rPr>
                <w:rFonts w:ascii="Calibri" w:eastAsia="Calibri" w:hAnsi="Calibri" w:cs="Times New Roman"/>
              </w:rPr>
              <w:t>Doc.dr.sc. Ivica Pelivan</w:t>
            </w:r>
          </w:p>
        </w:tc>
      </w:tr>
    </w:tbl>
    <w:p w:rsidR="002525A0" w:rsidRDefault="002525A0" w:rsidP="00596FE0">
      <w:pPr>
        <w:keepNext/>
        <w:keepLines/>
        <w:spacing w:before="200" w:after="0"/>
        <w:outlineLvl w:val="1"/>
      </w:pPr>
    </w:p>
    <w:sectPr w:rsidR="0025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6276"/>
    <w:multiLevelType w:val="hybridMultilevel"/>
    <w:tmpl w:val="ED5A3AF8"/>
    <w:lvl w:ilvl="0" w:tplc="F560FFB2">
      <w:start w:val="1"/>
      <w:numFmt w:val="decimal"/>
      <w:lvlText w:val="%1."/>
      <w:lvlJc w:val="left"/>
      <w:pPr>
        <w:ind w:left="1080" w:hanging="360"/>
      </w:pPr>
      <w:rPr>
        <w:rFonts w:cs="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74C32B4A"/>
    <w:multiLevelType w:val="hybridMultilevel"/>
    <w:tmpl w:val="142C5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FB"/>
    <w:rsid w:val="000900FB"/>
    <w:rsid w:val="00160F10"/>
    <w:rsid w:val="001D2817"/>
    <w:rsid w:val="002525A0"/>
    <w:rsid w:val="00596FE0"/>
    <w:rsid w:val="009410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Stomatološki Fakultet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Vojvodic</dc:creator>
  <cp:lastModifiedBy>Vojvodic</cp:lastModifiedBy>
  <cp:revision>3</cp:revision>
  <dcterms:created xsi:type="dcterms:W3CDTF">2014-09-24T07:37:00Z</dcterms:created>
  <dcterms:modified xsi:type="dcterms:W3CDTF">2014-09-26T10:14:00Z</dcterms:modified>
</cp:coreProperties>
</file>