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80"/>
        <w:tblW w:w="9282" w:type="dxa"/>
        <w:tblInd w:w="0" w:type="dxa"/>
        <w:tblCellMar>
          <w:top w:w="60" w:type="dxa"/>
          <w:left w:w="10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63"/>
        <w:gridCol w:w="7219"/>
      </w:tblGrid>
      <w:tr w:rsidR="00A32759" w:rsidRPr="00A32759" w:rsidTr="00A32759">
        <w:trPr>
          <w:trHeight w:val="2066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Prof. dr. </w:t>
            </w:r>
            <w:proofErr w:type="spellStart"/>
            <w:r w:rsidRPr="00A32759">
              <w:rPr>
                <w:i w:val="0"/>
                <w:sz w:val="22"/>
              </w:rPr>
              <w:t>sc</w:t>
            </w:r>
            <w:proofErr w:type="spellEnd"/>
            <w:r w:rsidRPr="00A32759">
              <w:rPr>
                <w:i w:val="0"/>
                <w:sz w:val="22"/>
              </w:rPr>
              <w:t xml:space="preserve">. 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Marina </w:t>
            </w:r>
            <w:proofErr w:type="spellStart"/>
            <w:r w:rsidRPr="00A32759">
              <w:rPr>
                <w:i w:val="0"/>
                <w:sz w:val="22"/>
              </w:rPr>
              <w:t>Lapter</w:t>
            </w:r>
            <w:proofErr w:type="spellEnd"/>
            <w:r w:rsidRPr="00A32759">
              <w:rPr>
                <w:i w:val="0"/>
                <w:sz w:val="22"/>
              </w:rPr>
              <w:t xml:space="preserve"> </w:t>
            </w:r>
          </w:p>
          <w:p w:rsidR="00A32759" w:rsidRPr="00DA0706" w:rsidRDefault="00A32759" w:rsidP="00A32759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Varga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(ponedjeljak)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Rast i razvoj </w:t>
            </w:r>
            <w:proofErr w:type="spellStart"/>
            <w:r w:rsidRPr="00A32759">
              <w:rPr>
                <w:b w:val="0"/>
                <w:i w:val="0"/>
                <w:sz w:val="22"/>
              </w:rPr>
              <w:t>kraniofacijalnog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sustava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(koncepti rasta, prenatalni i postnatalni rast)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Rast i razvoj denticije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Procjena biološke dobi, </w:t>
            </w:r>
            <w:proofErr w:type="spellStart"/>
            <w:r w:rsidRPr="00A32759">
              <w:rPr>
                <w:b w:val="0"/>
                <w:i w:val="0"/>
                <w:sz w:val="22"/>
              </w:rPr>
              <w:t>osealna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zrelost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(analiza šake, kralješaka) </w:t>
            </w:r>
          </w:p>
          <w:p w:rsidR="00A32759" w:rsidRPr="00A32759" w:rsidRDefault="00A32759" w:rsidP="00A32759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Etiologija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ortodontskih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anomalija</w:t>
            </w:r>
          </w:p>
        </w:tc>
      </w:tr>
      <w:tr w:rsidR="00DA0706" w:rsidRPr="00A32759" w:rsidTr="00A32759">
        <w:trPr>
          <w:trHeight w:val="2852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Prof.dr.sc.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Sandra Anić </w:t>
            </w:r>
          </w:p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Milošević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</w:t>
            </w:r>
            <w:r>
              <w:rPr>
                <w:i w:val="0"/>
                <w:sz w:val="22"/>
              </w:rPr>
              <w:t>utorak</w:t>
            </w:r>
            <w:r w:rsidRPr="00DA0706">
              <w:rPr>
                <w:i w:val="0"/>
                <w:sz w:val="22"/>
              </w:rPr>
              <w:t>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Antropometrijske mjere glave i lica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Analiza fotografije i estetika lica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Primjena </w:t>
            </w:r>
            <w:proofErr w:type="spellStart"/>
            <w:r w:rsidRPr="00A32759">
              <w:rPr>
                <w:b w:val="0"/>
                <w:i w:val="0"/>
                <w:sz w:val="22"/>
              </w:rPr>
              <w:t>rendgenkefalometrijske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analize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Analiza Zagreb 82 MOD</w:t>
            </w:r>
          </w:p>
        </w:tc>
      </w:tr>
      <w:tr w:rsidR="00DA0706" w:rsidRPr="00A32759" w:rsidTr="00A32759">
        <w:trPr>
          <w:trHeight w:val="1387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Prof.dr.sc. Mladen Šlaj</w:t>
            </w:r>
          </w:p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Dražen Jokić</w:t>
            </w:r>
          </w:p>
          <w:p w:rsid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(srijeda)</w:t>
            </w:r>
          </w:p>
          <w:p w:rsidR="00DA0706" w:rsidRDefault="00DA0706" w:rsidP="00DA0706">
            <w:pPr>
              <w:ind w:left="0" w:right="0"/>
              <w:rPr>
                <w:i w:val="0"/>
                <w:sz w:val="22"/>
              </w:rPr>
            </w:pP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RTG</w:t>
            </w:r>
            <w:r>
              <w:rPr>
                <w:b w:val="0"/>
                <w:i w:val="0"/>
                <w:sz w:val="22"/>
              </w:rPr>
              <w:t xml:space="preserve"> i 3D</w:t>
            </w:r>
            <w:r w:rsidRPr="00A32759">
              <w:rPr>
                <w:b w:val="0"/>
                <w:i w:val="0"/>
                <w:sz w:val="22"/>
              </w:rPr>
              <w:t xml:space="preserve"> dijagnostika u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ortodonciji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(indikacije, ispravan odabir metode, doze zračenja, 3D dijagnostika)</w:t>
            </w:r>
          </w:p>
          <w:p w:rsidR="00DA0706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Analiza </w:t>
            </w:r>
            <w:proofErr w:type="spellStart"/>
            <w:r>
              <w:rPr>
                <w:b w:val="0"/>
                <w:i w:val="0"/>
                <w:sz w:val="22"/>
              </w:rPr>
              <w:t>ortopantomograma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Digitalna </w:t>
            </w:r>
            <w:proofErr w:type="spellStart"/>
            <w:r>
              <w:rPr>
                <w:b w:val="0"/>
                <w:i w:val="0"/>
                <w:sz w:val="22"/>
              </w:rPr>
              <w:t>rendgenkefalometrija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</w:p>
        </w:tc>
      </w:tr>
      <w:tr w:rsidR="00DA0706" w:rsidRPr="00A32759" w:rsidTr="00A32759">
        <w:trPr>
          <w:trHeight w:val="1187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</w:t>
            </w:r>
            <w:r w:rsidRPr="00A32759">
              <w:rPr>
                <w:i w:val="0"/>
                <w:sz w:val="22"/>
              </w:rPr>
              <w:t>.dr.sc. Martina Šlaj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</w:t>
            </w:r>
            <w:r>
              <w:rPr>
                <w:i w:val="0"/>
                <w:sz w:val="22"/>
              </w:rPr>
              <w:t>četvrtak</w:t>
            </w:r>
            <w:r w:rsidRPr="00DA0706">
              <w:rPr>
                <w:i w:val="0"/>
                <w:sz w:val="22"/>
              </w:rPr>
              <w:t>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proofErr w:type="spellStart"/>
            <w:r w:rsidRPr="00A32759">
              <w:rPr>
                <w:b w:val="0"/>
                <w:i w:val="0"/>
                <w:sz w:val="22"/>
              </w:rPr>
              <w:t>Ortodontska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dijagnoza, razvoj liste problema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Anamneza i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ortodontski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klinički status, analiza funkcije i </w:t>
            </w:r>
            <w:proofErr w:type="spellStart"/>
            <w:r w:rsidRPr="00A32759">
              <w:rPr>
                <w:b w:val="0"/>
                <w:i w:val="0"/>
                <w:sz w:val="22"/>
              </w:rPr>
              <w:t>okluzije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Anomalije broja i oblika zubi, poremećaji </w:t>
            </w:r>
            <w:proofErr w:type="spellStart"/>
            <w:r w:rsidRPr="00A32759">
              <w:rPr>
                <w:b w:val="0"/>
                <w:i w:val="0"/>
                <w:sz w:val="22"/>
              </w:rPr>
              <w:t>okluzije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Dijagnostika u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ortodonciji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(procedura i standardna dokumentacija)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Analiza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ortodontskih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modela (i digitalni modeli)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Analiza studijskih modela u tri dimenzije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Analiza po </w:t>
            </w:r>
            <w:proofErr w:type="spellStart"/>
            <w:r w:rsidRPr="00A32759">
              <w:rPr>
                <w:b w:val="0"/>
                <w:i w:val="0"/>
                <w:sz w:val="22"/>
              </w:rPr>
              <w:t>Boltonu</w:t>
            </w:r>
            <w:proofErr w:type="spellEnd"/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Analiza prostora u mješovitoj i trajnoj denticiji</w:t>
            </w:r>
          </w:p>
        </w:tc>
      </w:tr>
      <w:tr w:rsidR="00DA0706" w:rsidRPr="00A32759" w:rsidTr="00A32759">
        <w:trPr>
          <w:trHeight w:val="2359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 xml:space="preserve">Prof.dr.sc. </w:t>
            </w:r>
          </w:p>
          <w:p w:rsidR="00DA0706" w:rsidRPr="00DA0706" w:rsidRDefault="00DA0706" w:rsidP="00DA0706">
            <w:pPr>
              <w:ind w:left="0" w:right="0"/>
              <w:rPr>
                <w:i w:val="0"/>
                <w:sz w:val="22"/>
              </w:rPr>
            </w:pPr>
            <w:r w:rsidRPr="00A32759">
              <w:rPr>
                <w:i w:val="0"/>
                <w:sz w:val="22"/>
              </w:rPr>
              <w:t>Senka Meštrović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DA0706">
              <w:rPr>
                <w:i w:val="0"/>
                <w:sz w:val="22"/>
              </w:rPr>
              <w:t>(petak)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Biološke osnove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ortodontske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terapije</w:t>
            </w:r>
          </w:p>
          <w:p w:rsidR="00DA0706" w:rsidRPr="00A32759" w:rsidRDefault="00DA0706" w:rsidP="00DA0706">
            <w:pPr>
              <w:spacing w:line="240" w:lineRule="auto"/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Struktura i funkcija </w:t>
            </w:r>
            <w:proofErr w:type="spellStart"/>
            <w:r w:rsidRPr="00A32759">
              <w:rPr>
                <w:b w:val="0"/>
                <w:i w:val="0"/>
                <w:sz w:val="22"/>
              </w:rPr>
              <w:t>parodonta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, odgovor na normalnu funkciju, uloga </w:t>
            </w:r>
            <w:proofErr w:type="spellStart"/>
            <w:r w:rsidRPr="00A32759">
              <w:rPr>
                <w:b w:val="0"/>
                <w:i w:val="0"/>
                <w:sz w:val="22"/>
              </w:rPr>
              <w:t>parodonta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u erupciji i stabilizaciji zuba</w:t>
            </w:r>
          </w:p>
          <w:p w:rsidR="00DA0706" w:rsidRPr="00A32759" w:rsidRDefault="00DA0706" w:rsidP="00DA0706">
            <w:pPr>
              <w:spacing w:line="240" w:lineRule="auto"/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Biološka kontrola pomaka zuba, teorija tlaka i vlaka, </w:t>
            </w:r>
            <w:proofErr w:type="spellStart"/>
            <w:r w:rsidRPr="00A32759">
              <w:rPr>
                <w:b w:val="0"/>
                <w:i w:val="0"/>
                <w:sz w:val="22"/>
              </w:rPr>
              <w:t>piezoelektrična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teorija, efekti veličine, distribucije, trajanja i opadanja sile 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Vrste pomaka zuba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>Sidrište (sidrišne situacije i sredstva za sidrenje)</w:t>
            </w:r>
          </w:p>
          <w:p w:rsidR="00DA0706" w:rsidRPr="00A32759" w:rsidRDefault="00DA0706" w:rsidP="00DA0706">
            <w:pPr>
              <w:ind w:left="0" w:right="0"/>
              <w:rPr>
                <w:b w:val="0"/>
                <w:i w:val="0"/>
                <w:sz w:val="22"/>
              </w:rPr>
            </w:pPr>
            <w:r w:rsidRPr="00A32759">
              <w:rPr>
                <w:b w:val="0"/>
                <w:i w:val="0"/>
                <w:sz w:val="22"/>
              </w:rPr>
              <w:t xml:space="preserve">Izvori sile u </w:t>
            </w:r>
            <w:proofErr w:type="spellStart"/>
            <w:r w:rsidRPr="00A32759">
              <w:rPr>
                <w:b w:val="0"/>
                <w:i w:val="0"/>
                <w:sz w:val="22"/>
              </w:rPr>
              <w:t>ortodonciji</w:t>
            </w:r>
            <w:proofErr w:type="spellEnd"/>
            <w:r w:rsidRPr="00A32759">
              <w:rPr>
                <w:b w:val="0"/>
                <w:i w:val="0"/>
                <w:sz w:val="22"/>
              </w:rPr>
              <w:t xml:space="preserve"> (žičani, gumeni i dodatni elementi)</w:t>
            </w:r>
          </w:p>
        </w:tc>
      </w:tr>
    </w:tbl>
    <w:p w:rsidR="00A32759" w:rsidRDefault="00A32759" w:rsidP="00A32759">
      <w:r>
        <w:rPr>
          <w:i w:val="0"/>
          <w:sz w:val="32"/>
        </w:rPr>
        <w:t xml:space="preserve">Turnusi </w:t>
      </w:r>
      <w:r>
        <w:rPr>
          <w:i w:val="0"/>
          <w:sz w:val="32"/>
        </w:rPr>
        <w:t>1</w:t>
      </w:r>
      <w:r>
        <w:rPr>
          <w:i w:val="0"/>
          <w:sz w:val="32"/>
        </w:rPr>
        <w:t xml:space="preserve"> tjedan </w:t>
      </w:r>
      <w:r>
        <w:t>ak. god. 2016/2017</w:t>
      </w:r>
    </w:p>
    <w:p w:rsidR="00A32759" w:rsidRDefault="00A32759" w:rsidP="00A32759">
      <w:r>
        <w:t>zimski semestar</w:t>
      </w:r>
      <w:r>
        <w:t xml:space="preserve"> (XI)</w:t>
      </w:r>
    </w:p>
    <w:p w:rsidR="00A32759" w:rsidRDefault="00A32759" w:rsidP="00A32759"/>
    <w:p w:rsidR="00A32759" w:rsidRDefault="00A32759">
      <w:pPr>
        <w:rPr>
          <w:i w:val="0"/>
          <w:sz w:val="32"/>
        </w:rPr>
      </w:pPr>
    </w:p>
    <w:p w:rsidR="00A32759" w:rsidRDefault="00DA0706">
      <w:bookmarkStart w:id="0" w:name="_GoBack"/>
      <w:bookmarkEnd w:id="0"/>
      <w:r>
        <w:rPr>
          <w:i w:val="0"/>
          <w:sz w:val="32"/>
        </w:rPr>
        <w:lastRenderedPageBreak/>
        <w:t xml:space="preserve">Turnusi </w:t>
      </w:r>
      <w:r w:rsidR="00A32759">
        <w:rPr>
          <w:i w:val="0"/>
          <w:sz w:val="32"/>
        </w:rPr>
        <w:t xml:space="preserve">2 tjedan </w:t>
      </w:r>
      <w:r>
        <w:t>ak. god. 201</w:t>
      </w:r>
      <w:r w:rsidR="00A32759">
        <w:t>6</w:t>
      </w:r>
      <w:r>
        <w:t>/201</w:t>
      </w:r>
      <w:r w:rsidR="00A32759">
        <w:t>7</w:t>
      </w:r>
    </w:p>
    <w:p w:rsidR="002C7227" w:rsidRDefault="00A32759">
      <w:r>
        <w:t xml:space="preserve">zimski </w:t>
      </w:r>
      <w:r w:rsidR="00DA0706">
        <w:t>semestar</w:t>
      </w:r>
      <w:r>
        <w:t xml:space="preserve"> (XI)</w:t>
      </w:r>
    </w:p>
    <w:tbl>
      <w:tblPr>
        <w:tblStyle w:val="TableGrid"/>
        <w:tblW w:w="9938" w:type="dxa"/>
        <w:tblInd w:w="-590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2659"/>
        <w:gridCol w:w="6788"/>
      </w:tblGrid>
      <w:tr w:rsidR="002C7227" w:rsidTr="00DA0706">
        <w:trPr>
          <w:trHeight w:val="1124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1.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Prof.dr.sc. Senka Meštrović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(ponedjeljak)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 xml:space="preserve">Povijest razvoja fiksnih tehnika (od </w:t>
            </w:r>
            <w:proofErr w:type="spellStart"/>
            <w:r>
              <w:rPr>
                <w:b w:val="0"/>
                <w:i w:val="0"/>
                <w:sz w:val="22"/>
              </w:rPr>
              <w:t>Anglea</w:t>
            </w:r>
            <w:proofErr w:type="spellEnd"/>
            <w:r>
              <w:rPr>
                <w:b w:val="0"/>
                <w:i w:val="0"/>
                <w:sz w:val="22"/>
              </w:rPr>
              <w:t xml:space="preserve"> do Andrewsa) </w:t>
            </w:r>
          </w:p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 xml:space="preserve">Suvremene fiksne tehnike (Roth, </w:t>
            </w:r>
            <w:proofErr w:type="spellStart"/>
            <w:r>
              <w:rPr>
                <w:b w:val="0"/>
                <w:i w:val="0"/>
                <w:sz w:val="22"/>
              </w:rPr>
              <w:t>Alexander</w:t>
            </w:r>
            <w:proofErr w:type="spellEnd"/>
            <w:r>
              <w:rPr>
                <w:b w:val="0"/>
                <w:i w:val="0"/>
                <w:sz w:val="22"/>
              </w:rPr>
              <w:t xml:space="preserve">, MBT, </w:t>
            </w:r>
            <w:proofErr w:type="spellStart"/>
            <w:r>
              <w:rPr>
                <w:b w:val="0"/>
                <w:i w:val="0"/>
                <w:sz w:val="22"/>
              </w:rPr>
              <w:t>samovezujuće</w:t>
            </w:r>
            <w:proofErr w:type="spellEnd"/>
            <w:r>
              <w:rPr>
                <w:b w:val="0"/>
                <w:i w:val="0"/>
                <w:sz w:val="22"/>
              </w:rPr>
              <w:t xml:space="preserve"> tehnike)</w:t>
            </w:r>
          </w:p>
        </w:tc>
      </w:tr>
      <w:tr w:rsidR="002C7227" w:rsidTr="00DA0706">
        <w:trPr>
          <w:trHeight w:val="1494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2.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</w:t>
            </w:r>
            <w:r>
              <w:rPr>
                <w:i w:val="0"/>
                <w:sz w:val="22"/>
              </w:rPr>
              <w:t>.dr.sc. Sandra Anić Milošević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(utorak)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Rascjepi usne i nepca</w:t>
            </w:r>
          </w:p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RPE</w:t>
            </w:r>
          </w:p>
          <w:p w:rsidR="002C7227" w:rsidRDefault="00DA0706">
            <w:pPr>
              <w:ind w:left="0" w:right="0"/>
            </w:pPr>
            <w:proofErr w:type="spellStart"/>
            <w:r>
              <w:rPr>
                <w:b w:val="0"/>
                <w:i w:val="0"/>
                <w:sz w:val="22"/>
              </w:rPr>
              <w:t>Quad</w:t>
            </w:r>
            <w:proofErr w:type="spellEnd"/>
            <w:r>
              <w:rPr>
                <w:b w:val="0"/>
                <w:i w:val="0"/>
                <w:sz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</w:rPr>
              <w:t>helix</w:t>
            </w:r>
            <w:proofErr w:type="spellEnd"/>
          </w:p>
          <w:p w:rsidR="002C7227" w:rsidRDefault="00DA0706">
            <w:pPr>
              <w:ind w:left="0" w:right="0"/>
            </w:pPr>
            <w:proofErr w:type="spellStart"/>
            <w:r>
              <w:rPr>
                <w:b w:val="0"/>
                <w:i w:val="0"/>
                <w:sz w:val="22"/>
              </w:rPr>
              <w:t>Obrazna</w:t>
            </w:r>
            <w:proofErr w:type="spellEnd"/>
            <w:r>
              <w:rPr>
                <w:b w:val="0"/>
                <w:i w:val="0"/>
                <w:sz w:val="22"/>
              </w:rPr>
              <w:t xml:space="preserve"> maska po </w:t>
            </w:r>
            <w:proofErr w:type="spellStart"/>
            <w:r>
              <w:rPr>
                <w:b w:val="0"/>
                <w:i w:val="0"/>
                <w:sz w:val="22"/>
              </w:rPr>
              <w:t>Delaireu</w:t>
            </w:r>
            <w:proofErr w:type="spellEnd"/>
            <w:r>
              <w:rPr>
                <w:b w:val="0"/>
                <w:i w:val="0"/>
                <w:sz w:val="22"/>
              </w:rPr>
              <w:t xml:space="preserve"> i </w:t>
            </w:r>
            <w:proofErr w:type="spellStart"/>
            <w:r>
              <w:rPr>
                <w:b w:val="0"/>
                <w:i w:val="0"/>
                <w:sz w:val="22"/>
              </w:rPr>
              <w:t>Headgear</w:t>
            </w:r>
            <w:proofErr w:type="spellEnd"/>
          </w:p>
        </w:tc>
      </w:tr>
      <w:tr w:rsidR="002C7227">
        <w:trPr>
          <w:trHeight w:val="816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3.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Prof.dr.sc. Mladen Šlaj</w:t>
            </w:r>
          </w:p>
          <w:p w:rsidR="00DA0706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Dražen Jokić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(srijeda)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Terapija anomalija u klasi III</w:t>
            </w:r>
          </w:p>
          <w:p w:rsidR="002C7227" w:rsidRDefault="00DA0706">
            <w:pPr>
              <w:ind w:left="0" w:right="0"/>
            </w:pPr>
            <w:proofErr w:type="spellStart"/>
            <w:r>
              <w:rPr>
                <w:b w:val="0"/>
                <w:i w:val="0"/>
                <w:sz w:val="22"/>
              </w:rPr>
              <w:t>Ortodontsko</w:t>
            </w:r>
            <w:proofErr w:type="spellEnd"/>
            <w:r>
              <w:rPr>
                <w:b w:val="0"/>
                <w:i w:val="0"/>
                <w:sz w:val="22"/>
              </w:rPr>
              <w:t xml:space="preserve">‐kirurška terapija </w:t>
            </w:r>
          </w:p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Otvoreni zagriz</w:t>
            </w:r>
          </w:p>
        </w:tc>
      </w:tr>
      <w:tr w:rsidR="002C7227" w:rsidTr="00DA0706">
        <w:trPr>
          <w:trHeight w:val="850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4.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Prof</w:t>
            </w:r>
            <w:r>
              <w:rPr>
                <w:i w:val="0"/>
                <w:sz w:val="22"/>
              </w:rPr>
              <w:t>.dr.sc. Martina Šlaj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(četvrtak)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</w:pPr>
            <w:r>
              <w:rPr>
                <w:b w:val="0"/>
                <w:i w:val="0"/>
                <w:sz w:val="22"/>
              </w:rPr>
              <w:t>Interdisciplinarna suradnja (</w:t>
            </w:r>
            <w:proofErr w:type="spellStart"/>
            <w:r>
              <w:rPr>
                <w:b w:val="0"/>
                <w:i w:val="0"/>
                <w:sz w:val="22"/>
              </w:rPr>
              <w:t>konzervativa</w:t>
            </w:r>
            <w:proofErr w:type="spellEnd"/>
            <w:r>
              <w:rPr>
                <w:b w:val="0"/>
                <w:i w:val="0"/>
                <w:sz w:val="22"/>
              </w:rPr>
              <w:t xml:space="preserve">, protetika, </w:t>
            </w:r>
            <w:proofErr w:type="spellStart"/>
            <w:r>
              <w:rPr>
                <w:b w:val="0"/>
                <w:i w:val="0"/>
                <w:sz w:val="22"/>
              </w:rPr>
              <w:t>parodontologija</w:t>
            </w:r>
            <w:proofErr w:type="spellEnd"/>
            <w:r>
              <w:rPr>
                <w:b w:val="0"/>
                <w:i w:val="0"/>
                <w:sz w:val="22"/>
              </w:rPr>
              <w:t>)</w:t>
            </w:r>
          </w:p>
        </w:tc>
      </w:tr>
      <w:tr w:rsidR="002C7227" w:rsidTr="00DA0706">
        <w:trPr>
          <w:trHeight w:val="1359"/>
        </w:trPr>
        <w:tc>
          <w:tcPr>
            <w:tcW w:w="491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  <w:vAlign w:val="center"/>
          </w:tcPr>
          <w:p w:rsidR="002C7227" w:rsidRDefault="00DA0706">
            <w:pPr>
              <w:ind w:left="0" w:right="0"/>
            </w:pPr>
            <w:r>
              <w:rPr>
                <w:i w:val="0"/>
                <w:sz w:val="22"/>
              </w:rPr>
              <w:t>5.</w:t>
            </w:r>
          </w:p>
        </w:tc>
        <w:tc>
          <w:tcPr>
            <w:tcW w:w="2659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Prof.dr.sc. Marina </w:t>
            </w:r>
            <w:proofErr w:type="spellStart"/>
            <w:r>
              <w:rPr>
                <w:i w:val="0"/>
                <w:sz w:val="22"/>
              </w:rPr>
              <w:t>Lapter</w:t>
            </w:r>
            <w:proofErr w:type="spellEnd"/>
            <w:r>
              <w:rPr>
                <w:i w:val="0"/>
                <w:sz w:val="22"/>
              </w:rPr>
              <w:t xml:space="preserve"> Varga</w:t>
            </w:r>
          </w:p>
          <w:p w:rsidR="00DA0706" w:rsidRDefault="00DA0706">
            <w:pPr>
              <w:ind w:left="0" w:right="0"/>
            </w:pPr>
            <w:r>
              <w:rPr>
                <w:i w:val="0"/>
                <w:sz w:val="22"/>
              </w:rPr>
              <w:t>(petak)</w:t>
            </w:r>
          </w:p>
        </w:tc>
        <w:tc>
          <w:tcPr>
            <w:tcW w:w="6788" w:type="dxa"/>
            <w:tcBorders>
              <w:top w:val="single" w:sz="4" w:space="0" w:color="558ED5"/>
              <w:left w:val="single" w:sz="4" w:space="0" w:color="558ED5"/>
              <w:bottom w:val="single" w:sz="4" w:space="0" w:color="558ED5"/>
              <w:right w:val="single" w:sz="4" w:space="0" w:color="558ED5"/>
            </w:tcBorders>
          </w:tcPr>
          <w:p w:rsidR="002C7227" w:rsidRDefault="00DA0706">
            <w:pPr>
              <w:ind w:left="0" w:right="3112"/>
            </w:pPr>
            <w:r>
              <w:rPr>
                <w:b w:val="0"/>
                <w:i w:val="0"/>
                <w:sz w:val="22"/>
              </w:rPr>
              <w:t xml:space="preserve">Terapija anomalija u klasi I </w:t>
            </w:r>
            <w:proofErr w:type="spellStart"/>
            <w:r>
              <w:rPr>
                <w:b w:val="0"/>
                <w:i w:val="0"/>
                <w:sz w:val="22"/>
              </w:rPr>
              <w:t>i</w:t>
            </w:r>
            <w:proofErr w:type="spellEnd"/>
            <w:r>
              <w:rPr>
                <w:b w:val="0"/>
                <w:i w:val="0"/>
                <w:sz w:val="22"/>
              </w:rPr>
              <w:t xml:space="preserve"> II Retencija i recidiv</w:t>
            </w:r>
          </w:p>
        </w:tc>
      </w:tr>
    </w:tbl>
    <w:p w:rsidR="00000000" w:rsidRDefault="00DA0706"/>
    <w:p w:rsidR="00DA0706" w:rsidRDefault="00DA0706"/>
    <w:p w:rsidR="00DA0706" w:rsidRDefault="00DA0706" w:rsidP="00DA0706">
      <w:r>
        <w:t xml:space="preserve">Turnus 1 </w:t>
      </w:r>
      <w:r>
        <w:tab/>
        <w:t>3.10. – 14.10.</w:t>
      </w:r>
      <w:r>
        <w:tab/>
        <w:t>L</w:t>
      </w:r>
    </w:p>
    <w:p w:rsidR="00DA0706" w:rsidRDefault="00DA0706" w:rsidP="00DA0706">
      <w:r>
        <w:t>Turnus 2</w:t>
      </w:r>
      <w:r>
        <w:tab/>
        <w:t>17.10. – 28.10</w:t>
      </w:r>
      <w:r>
        <w:tab/>
        <w:t>I</w:t>
      </w:r>
    </w:p>
    <w:p w:rsidR="00DA0706" w:rsidRDefault="00DA0706" w:rsidP="00DA0706">
      <w:r>
        <w:t>Turnus 3</w:t>
      </w:r>
      <w:r>
        <w:tab/>
        <w:t>31.10. – 11.11.</w:t>
      </w:r>
      <w:r>
        <w:tab/>
        <w:t>H</w:t>
      </w:r>
    </w:p>
    <w:p w:rsidR="00DA0706" w:rsidRDefault="00DA0706" w:rsidP="00DA0706">
      <w:r>
        <w:t>Turnus 4</w:t>
      </w:r>
      <w:r>
        <w:tab/>
        <w:t xml:space="preserve">14.11.- 25.11. </w:t>
      </w:r>
      <w:r>
        <w:tab/>
        <w:t>K</w:t>
      </w:r>
    </w:p>
    <w:p w:rsidR="00DA0706" w:rsidRDefault="00DA0706" w:rsidP="00DA0706">
      <w:r>
        <w:t>Turnus 5</w:t>
      </w:r>
      <w:r>
        <w:tab/>
        <w:t>28.11. – 9.12.</w:t>
      </w:r>
      <w:r>
        <w:tab/>
        <w:t>J</w:t>
      </w:r>
    </w:p>
    <w:p w:rsidR="00DA0706" w:rsidRDefault="00DA0706" w:rsidP="00DA0706">
      <w:r>
        <w:t>Turnus 6</w:t>
      </w:r>
      <w:r>
        <w:tab/>
        <w:t>12.12. – 23.12</w:t>
      </w:r>
      <w:r>
        <w:tab/>
        <w:t>G</w:t>
      </w:r>
    </w:p>
    <w:sectPr w:rsidR="00DA0706">
      <w:pgSz w:w="11900" w:h="16820"/>
      <w:pgMar w:top="1440" w:right="1440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7"/>
    <w:rsid w:val="002C7227"/>
    <w:rsid w:val="00A32759"/>
    <w:rsid w:val="00D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8C9"/>
  <w15:docId w15:val="{00CBB039-E267-48BD-8D2B-ABB06D3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23" w:right="3103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Mladen Šlaj</dc:creator>
  <cp:keywords/>
  <cp:lastModifiedBy>prof.dr.sc. Mladen Šlaj</cp:lastModifiedBy>
  <cp:revision>2</cp:revision>
  <dcterms:created xsi:type="dcterms:W3CDTF">2016-09-13T08:07:00Z</dcterms:created>
  <dcterms:modified xsi:type="dcterms:W3CDTF">2016-09-13T08:07:00Z</dcterms:modified>
</cp:coreProperties>
</file>